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E977A" w14:textId="77777777" w:rsidR="00AB6B8F" w:rsidRDefault="00AB6B8F">
      <w:pPr>
        <w:ind w:left="-720" w:right="-874"/>
        <w:jc w:val="center"/>
        <w:rPr>
          <w:rFonts w:ascii="標楷體" w:eastAsia="標楷體" w:hAnsi="標楷體"/>
          <w:b/>
          <w:bCs/>
          <w:color w:val="000000"/>
          <w:position w:val="8"/>
          <w:sz w:val="36"/>
          <w:szCs w:val="36"/>
        </w:rPr>
      </w:pPr>
      <w:r>
        <w:rPr>
          <w:rFonts w:ascii="標楷體" w:eastAsia="標楷體" w:hAnsi="標楷體"/>
          <w:b/>
          <w:bCs/>
          <w:color w:val="000000"/>
          <w:position w:val="8"/>
          <w:sz w:val="36"/>
          <w:szCs w:val="36"/>
        </w:rPr>
        <w:t>財團法人明日醫學基金會補助專題研究計畫</w:t>
      </w:r>
    </w:p>
    <w:p w14:paraId="7885E7E0" w14:textId="77777777" w:rsidR="00AB6B8F" w:rsidRDefault="00AB6B8F">
      <w:pPr>
        <w:ind w:left="-720" w:right="-874" w:firstLine="720"/>
        <w:jc w:val="center"/>
        <w:rPr>
          <w:rFonts w:ascii="標楷體" w:eastAsia="標楷體" w:hAnsi="標楷體"/>
          <w:b/>
          <w:bCs/>
          <w:color w:val="000000"/>
          <w:position w:val="8"/>
          <w:sz w:val="36"/>
          <w:szCs w:val="36"/>
          <w:lang w:eastAsia="ar-SA"/>
        </w:rPr>
      </w:pPr>
      <w:r>
        <w:rPr>
          <w:rFonts w:ascii="標楷體" w:eastAsia="標楷體" w:hAnsi="標楷體"/>
          <w:b/>
          <w:bCs/>
          <w:color w:val="000000"/>
          <w:position w:val="8"/>
          <w:sz w:val="36"/>
          <w:szCs w:val="36"/>
        </w:rPr>
        <w:sym w:font="Wingdings 2" w:char="F052"/>
      </w:r>
      <w:r>
        <w:rPr>
          <w:rFonts w:ascii="標楷體" w:eastAsia="標楷體" w:hAnsi="標楷體"/>
          <w:b/>
          <w:bCs/>
          <w:color w:val="000000"/>
          <w:position w:val="8"/>
          <w:sz w:val="36"/>
          <w:szCs w:val="36"/>
        </w:rPr>
        <w:t xml:space="preserve">成果報告 </w:t>
      </w:r>
      <w:r>
        <w:rPr>
          <w:rFonts w:ascii="標楷體" w:eastAsia="標楷體" w:hAnsi="標楷體"/>
          <w:b/>
          <w:bCs/>
          <w:color w:val="000000"/>
          <w:position w:val="8"/>
          <w:sz w:val="36"/>
          <w:szCs w:val="36"/>
          <w:lang w:eastAsia="ar-SA"/>
        </w:rPr>
        <w:t>□</w:t>
      </w:r>
      <w:r>
        <w:rPr>
          <w:rFonts w:ascii="標楷體" w:eastAsia="標楷體" w:hAnsi="標楷體"/>
          <w:b/>
          <w:bCs/>
          <w:color w:val="000000"/>
          <w:position w:val="8"/>
          <w:sz w:val="36"/>
          <w:szCs w:val="36"/>
        </w:rPr>
        <w:t>期中進度報告</w:t>
      </w:r>
    </w:p>
    <w:p w14:paraId="441D844C" w14:textId="77777777" w:rsidR="00AB6B8F" w:rsidRDefault="00AB6B8F">
      <w:pPr>
        <w:ind w:firstLine="841"/>
        <w:jc w:val="center"/>
        <w:rPr>
          <w:rFonts w:ascii="sө" w:hAnsi="sө" w:hint="eastAsia"/>
          <w:b/>
          <w:bCs/>
          <w:color w:val="CC3333"/>
          <w:sz w:val="28"/>
          <w:szCs w:val="32"/>
        </w:rPr>
      </w:pPr>
    </w:p>
    <w:p w14:paraId="3B691E44" w14:textId="77777777" w:rsidR="00570994" w:rsidRDefault="00AB6B8F" w:rsidP="007D44ED">
      <w:pPr>
        <w:ind w:left="1500" w:hangingChars="500" w:hanging="1500"/>
        <w:jc w:val="both"/>
        <w:rPr>
          <w:rFonts w:ascii="標楷體" w:eastAsia="標楷體" w:hAnsi="標楷體"/>
          <w:color w:val="333333"/>
          <w:sz w:val="30"/>
          <w:szCs w:val="30"/>
        </w:rPr>
      </w:pPr>
      <w:r w:rsidRPr="00244843">
        <w:rPr>
          <w:rFonts w:ascii="標楷體" w:eastAsia="標楷體" w:hAnsi="標楷體"/>
          <w:color w:val="333333"/>
          <w:sz w:val="30"/>
          <w:szCs w:val="30"/>
        </w:rPr>
        <w:t>計畫名稱：</w:t>
      </w:r>
    </w:p>
    <w:p w14:paraId="4ABAFB8E" w14:textId="3B14B40C" w:rsidR="00715928" w:rsidRPr="00715928" w:rsidRDefault="00A32D23" w:rsidP="00715928">
      <w:pPr>
        <w:rPr>
          <w:rFonts w:eastAsia="標楷體"/>
          <w:color w:val="333333"/>
        </w:rPr>
      </w:pPr>
      <w:r w:rsidRPr="00A32D23">
        <w:rPr>
          <w:rFonts w:eastAsia="標楷體" w:hint="eastAsia"/>
          <w:color w:val="333333"/>
        </w:rPr>
        <w:t>以干擾素或者不含干擾素抗病毒藥物廓清</w:t>
      </w:r>
      <w:r w:rsidRPr="00A32D23">
        <w:rPr>
          <w:rFonts w:eastAsia="標楷體" w:hint="eastAsia"/>
          <w:color w:val="333333"/>
        </w:rPr>
        <w:t>C</w:t>
      </w:r>
      <w:r w:rsidRPr="00A32D23">
        <w:rPr>
          <w:rFonts w:eastAsia="標楷體" w:hint="eastAsia"/>
          <w:color w:val="333333"/>
        </w:rPr>
        <w:t>型肝炎病毒和血中自體免疫抗體的關聯性</w:t>
      </w:r>
    </w:p>
    <w:p w14:paraId="02516329" w14:textId="4373228D" w:rsidR="00715928" w:rsidRPr="00715928" w:rsidRDefault="00A32D23" w:rsidP="00715928">
      <w:pPr>
        <w:rPr>
          <w:rFonts w:eastAsia="標楷體"/>
          <w:color w:val="333333"/>
        </w:rPr>
      </w:pPr>
      <w:r w:rsidRPr="00A32D23">
        <w:rPr>
          <w:rFonts w:eastAsia="標楷體"/>
        </w:rPr>
        <w:t>Association between Circulatory Autoantibodies and Eradication of Hepatitis C Virus by Antiviral Therapy with or without Interferon</w:t>
      </w:r>
    </w:p>
    <w:p w14:paraId="0755D6F1" w14:textId="77777777" w:rsidR="00467DF5" w:rsidRPr="009C2E40" w:rsidRDefault="00467DF5" w:rsidP="007D44ED">
      <w:pPr>
        <w:ind w:left="1500" w:hangingChars="500" w:hanging="1500"/>
        <w:jc w:val="both"/>
        <w:rPr>
          <w:rFonts w:ascii="標楷體" w:eastAsia="標楷體" w:hAnsi="標楷體"/>
          <w:color w:val="333333"/>
          <w:sz w:val="30"/>
          <w:szCs w:val="28"/>
        </w:rPr>
      </w:pPr>
    </w:p>
    <w:p w14:paraId="03239421" w14:textId="4FB2D85D" w:rsidR="00AB6B8F" w:rsidRDefault="00AB6B8F" w:rsidP="00911506">
      <w:pPr>
        <w:spacing w:line="440" w:lineRule="exact"/>
        <w:jc w:val="both"/>
        <w:rPr>
          <w:rFonts w:ascii="標楷體" w:eastAsia="標楷體" w:hAnsi="標楷體"/>
          <w:color w:val="333333"/>
          <w:sz w:val="30"/>
          <w:szCs w:val="28"/>
        </w:rPr>
      </w:pPr>
      <w:r>
        <w:rPr>
          <w:rFonts w:ascii="標楷體" w:eastAsia="標楷體" w:hAnsi="標楷體"/>
          <w:color w:val="333333"/>
          <w:sz w:val="30"/>
          <w:szCs w:val="28"/>
        </w:rPr>
        <w:t>計畫類別：</w:t>
      </w:r>
      <w:r>
        <w:rPr>
          <w:rFonts w:ascii="Wingdings 2" w:hAnsi="Wingdings 2"/>
          <w:b/>
          <w:bCs/>
          <w:color w:val="000000"/>
          <w:sz w:val="40"/>
          <w:szCs w:val="72"/>
        </w:rPr>
        <w:t></w:t>
      </w:r>
      <w:r>
        <w:rPr>
          <w:rFonts w:ascii="標楷體" w:eastAsia="標楷體" w:hAnsi="標楷體"/>
          <w:color w:val="333333"/>
          <w:sz w:val="30"/>
          <w:szCs w:val="28"/>
        </w:rPr>
        <w:t xml:space="preserve"> 個別型計畫　　□ 整合型計畫</w:t>
      </w:r>
      <w:r>
        <w:rPr>
          <w:rFonts w:ascii="標楷體" w:eastAsia="標楷體" w:hAnsi="標楷體"/>
          <w:color w:val="333333"/>
          <w:sz w:val="30"/>
          <w:szCs w:val="28"/>
        </w:rPr>
        <w:br/>
      </w:r>
      <w:r>
        <w:rPr>
          <w:rFonts w:ascii="標楷體" w:eastAsia="標楷體" w:hAnsi="標楷體"/>
          <w:color w:val="333333"/>
          <w:sz w:val="30"/>
          <w:szCs w:val="28"/>
        </w:rPr>
        <w:br/>
      </w:r>
      <w:r w:rsidR="00C62DAD">
        <w:rPr>
          <w:rFonts w:ascii="標楷體" w:eastAsia="標楷體" w:hAnsi="標楷體"/>
          <w:color w:val="333333"/>
          <w:sz w:val="30"/>
          <w:szCs w:val="28"/>
        </w:rPr>
        <w:t>執行期間：</w:t>
      </w:r>
      <w:r w:rsidR="007D44ED">
        <w:rPr>
          <w:rFonts w:eastAsia="標楷體" w:hint="eastAsia"/>
          <w:sz w:val="28"/>
        </w:rPr>
        <w:t xml:space="preserve"> 10</w:t>
      </w:r>
      <w:r w:rsidR="00A32D23">
        <w:rPr>
          <w:rFonts w:eastAsia="標楷體"/>
          <w:sz w:val="28"/>
        </w:rPr>
        <w:t>9</w:t>
      </w:r>
      <w:r>
        <w:rPr>
          <w:rFonts w:eastAsia="標楷體" w:hint="eastAsia"/>
          <w:sz w:val="28"/>
        </w:rPr>
        <w:t xml:space="preserve"> </w:t>
      </w:r>
      <w:r>
        <w:rPr>
          <w:rFonts w:eastAsia="標楷體" w:hint="eastAsia"/>
          <w:sz w:val="28"/>
        </w:rPr>
        <w:t>年</w:t>
      </w:r>
      <w:r>
        <w:rPr>
          <w:rFonts w:eastAsia="標楷體" w:hint="eastAsia"/>
          <w:sz w:val="28"/>
        </w:rPr>
        <w:t xml:space="preserve"> </w:t>
      </w:r>
      <w:r w:rsidR="00C62DAD">
        <w:rPr>
          <w:rFonts w:eastAsia="標楷體" w:hint="eastAsia"/>
          <w:sz w:val="28"/>
        </w:rPr>
        <w:t>1</w:t>
      </w:r>
      <w:r>
        <w:rPr>
          <w:rFonts w:eastAsia="標楷體" w:hint="eastAsia"/>
          <w:sz w:val="28"/>
        </w:rPr>
        <w:t xml:space="preserve"> </w:t>
      </w:r>
      <w:r>
        <w:rPr>
          <w:rFonts w:eastAsia="標楷體" w:hint="eastAsia"/>
          <w:sz w:val="28"/>
        </w:rPr>
        <w:t>月</w:t>
      </w:r>
      <w:r>
        <w:rPr>
          <w:rFonts w:eastAsia="標楷體" w:hint="eastAsia"/>
          <w:sz w:val="28"/>
        </w:rPr>
        <w:t xml:space="preserve"> 1 </w:t>
      </w:r>
      <w:r>
        <w:rPr>
          <w:rFonts w:eastAsia="標楷體" w:hint="eastAsia"/>
          <w:sz w:val="28"/>
        </w:rPr>
        <w:t>日起</w:t>
      </w:r>
      <w:r>
        <w:rPr>
          <w:rFonts w:eastAsia="標楷體" w:hint="eastAsia"/>
          <w:sz w:val="28"/>
        </w:rPr>
        <w:t xml:space="preserve"> </w:t>
      </w:r>
      <w:r>
        <w:rPr>
          <w:rFonts w:eastAsia="標楷體" w:hint="eastAsia"/>
          <w:sz w:val="28"/>
        </w:rPr>
        <w:t>至</w:t>
      </w:r>
      <w:r w:rsidR="00244843">
        <w:rPr>
          <w:rFonts w:eastAsia="標楷體" w:hint="eastAsia"/>
          <w:sz w:val="28"/>
        </w:rPr>
        <w:t xml:space="preserve"> 10</w:t>
      </w:r>
      <w:r w:rsidR="00A32D23">
        <w:rPr>
          <w:rFonts w:eastAsia="標楷體"/>
          <w:sz w:val="28"/>
        </w:rPr>
        <w:t>9</w:t>
      </w:r>
      <w:r>
        <w:rPr>
          <w:rFonts w:eastAsia="標楷體" w:hint="eastAsia"/>
          <w:sz w:val="28"/>
        </w:rPr>
        <w:t xml:space="preserve"> </w:t>
      </w:r>
      <w:r>
        <w:rPr>
          <w:rFonts w:eastAsia="標楷體" w:hint="eastAsia"/>
          <w:sz w:val="28"/>
        </w:rPr>
        <w:t>年</w:t>
      </w:r>
      <w:r>
        <w:rPr>
          <w:rFonts w:eastAsia="標楷體" w:hint="eastAsia"/>
          <w:sz w:val="28"/>
        </w:rPr>
        <w:t xml:space="preserve"> </w:t>
      </w:r>
      <w:r w:rsidR="00911506">
        <w:rPr>
          <w:rFonts w:eastAsia="標楷體" w:hint="eastAsia"/>
          <w:sz w:val="28"/>
        </w:rPr>
        <w:t>12</w:t>
      </w:r>
      <w:r>
        <w:rPr>
          <w:rFonts w:eastAsia="標楷體" w:hint="eastAsia"/>
          <w:sz w:val="28"/>
        </w:rPr>
        <w:t xml:space="preserve"> </w:t>
      </w:r>
      <w:r>
        <w:rPr>
          <w:rFonts w:eastAsia="標楷體" w:hint="eastAsia"/>
          <w:sz w:val="28"/>
        </w:rPr>
        <w:t>月</w:t>
      </w:r>
      <w:r>
        <w:rPr>
          <w:rFonts w:eastAsia="標楷體" w:hint="eastAsia"/>
          <w:sz w:val="28"/>
        </w:rPr>
        <w:t xml:space="preserve"> 31 </w:t>
      </w:r>
      <w:r>
        <w:rPr>
          <w:rFonts w:eastAsia="標楷體" w:hint="eastAsia"/>
          <w:sz w:val="28"/>
        </w:rPr>
        <w:t>日止</w:t>
      </w:r>
    </w:p>
    <w:p w14:paraId="06F65F6B" w14:textId="77777777" w:rsidR="00AB6B8F" w:rsidRPr="00715928" w:rsidRDefault="00AB6B8F">
      <w:pPr>
        <w:spacing w:line="440" w:lineRule="exact"/>
        <w:jc w:val="both"/>
        <w:rPr>
          <w:rFonts w:ascii="標楷體" w:eastAsia="標楷體" w:hAnsi="標楷體"/>
          <w:color w:val="333333"/>
          <w:sz w:val="30"/>
          <w:szCs w:val="28"/>
        </w:rPr>
      </w:pPr>
    </w:p>
    <w:p w14:paraId="34B74140" w14:textId="77777777" w:rsidR="00AB6B8F" w:rsidRDefault="00AB6B8F">
      <w:pPr>
        <w:spacing w:line="440" w:lineRule="exact"/>
        <w:jc w:val="both"/>
        <w:rPr>
          <w:rFonts w:ascii="標楷體" w:eastAsia="標楷體" w:hAnsi="標楷體"/>
          <w:color w:val="333333"/>
          <w:sz w:val="30"/>
          <w:szCs w:val="28"/>
        </w:rPr>
      </w:pPr>
      <w:r>
        <w:rPr>
          <w:rFonts w:ascii="標楷體" w:eastAsia="標楷體" w:hAnsi="標楷體"/>
          <w:color w:val="333333"/>
          <w:sz w:val="30"/>
          <w:szCs w:val="28"/>
        </w:rPr>
        <w:t xml:space="preserve">計畫主持人： </w:t>
      </w:r>
      <w:r w:rsidR="00911506">
        <w:rPr>
          <w:rFonts w:ascii="標楷體" w:eastAsia="標楷體" w:hAnsi="標楷體" w:hint="eastAsia"/>
          <w:b/>
          <w:color w:val="333333"/>
          <w:sz w:val="30"/>
          <w:szCs w:val="28"/>
        </w:rPr>
        <w:t>許耀峻</w:t>
      </w:r>
      <w:r>
        <w:rPr>
          <w:rFonts w:ascii="標楷體" w:eastAsia="標楷體" w:hAnsi="標楷體"/>
          <w:color w:val="333333"/>
          <w:sz w:val="30"/>
          <w:szCs w:val="28"/>
        </w:rPr>
        <w:br/>
        <w:t>共同主持人：</w:t>
      </w:r>
      <w:r>
        <w:rPr>
          <w:rFonts w:ascii="標楷體" w:eastAsia="標楷體" w:hAnsi="標楷體"/>
          <w:color w:val="333333"/>
          <w:sz w:val="30"/>
          <w:szCs w:val="28"/>
        </w:rPr>
        <w:br/>
        <w:t xml:space="preserve">計畫參與人員： </w:t>
      </w:r>
    </w:p>
    <w:p w14:paraId="754F12B7" w14:textId="77777777" w:rsidR="00AB6B8F" w:rsidRDefault="00AB6B8F">
      <w:pPr>
        <w:spacing w:line="440" w:lineRule="exact"/>
        <w:jc w:val="both"/>
        <w:rPr>
          <w:rFonts w:ascii="標楷體" w:eastAsia="標楷體" w:hAnsi="標楷體"/>
          <w:color w:val="333333"/>
          <w:sz w:val="30"/>
          <w:szCs w:val="28"/>
        </w:rPr>
      </w:pPr>
    </w:p>
    <w:p w14:paraId="758DDA0F" w14:textId="77777777" w:rsidR="00AB6B8F" w:rsidRDefault="00AB6B8F" w:rsidP="00911506">
      <w:pPr>
        <w:spacing w:line="440" w:lineRule="exact"/>
        <w:jc w:val="both"/>
        <w:rPr>
          <w:rFonts w:ascii="標楷體" w:eastAsia="標楷體" w:hAnsi="標楷體"/>
          <w:color w:val="333333"/>
          <w:sz w:val="30"/>
          <w:szCs w:val="28"/>
        </w:rPr>
      </w:pPr>
      <w:r>
        <w:rPr>
          <w:rFonts w:ascii="標楷體" w:eastAsia="標楷體" w:hAnsi="標楷體"/>
          <w:color w:val="333333"/>
          <w:sz w:val="30"/>
          <w:szCs w:val="28"/>
        </w:rPr>
        <w:t>成果報告類型：</w:t>
      </w:r>
      <w:r w:rsidR="00911506">
        <w:rPr>
          <w:rFonts w:ascii="標楷體" w:eastAsia="標楷體" w:hAnsi="標楷體"/>
          <w:color w:val="333333"/>
          <w:sz w:val="30"/>
          <w:szCs w:val="28"/>
        </w:rPr>
        <w:t>□</w:t>
      </w:r>
      <w:r>
        <w:rPr>
          <w:rFonts w:ascii="標楷體" w:eastAsia="標楷體" w:hAnsi="標楷體"/>
          <w:color w:val="333333"/>
          <w:sz w:val="30"/>
          <w:szCs w:val="28"/>
        </w:rPr>
        <w:t xml:space="preserve">精簡報告 </w:t>
      </w:r>
      <w:r w:rsidR="00911506">
        <w:rPr>
          <w:rFonts w:ascii="Wingdings 2" w:hAnsi="Wingdings 2"/>
          <w:b/>
          <w:bCs/>
          <w:color w:val="000000"/>
          <w:sz w:val="40"/>
          <w:szCs w:val="72"/>
        </w:rPr>
        <w:t></w:t>
      </w:r>
      <w:r>
        <w:rPr>
          <w:rFonts w:ascii="標楷體" w:eastAsia="標楷體" w:hAnsi="標楷體"/>
          <w:color w:val="333333"/>
          <w:sz w:val="30"/>
          <w:szCs w:val="28"/>
        </w:rPr>
        <w:t>完整報告</w:t>
      </w:r>
    </w:p>
    <w:p w14:paraId="5DF35AB9" w14:textId="77777777" w:rsidR="00AB6B8F" w:rsidRDefault="00AB6B8F" w:rsidP="00911506">
      <w:pPr>
        <w:spacing w:line="440" w:lineRule="exact"/>
        <w:jc w:val="both"/>
        <w:rPr>
          <w:rFonts w:ascii="標楷體" w:eastAsia="標楷體" w:hAnsi="標楷體"/>
          <w:color w:val="333333"/>
          <w:sz w:val="30"/>
          <w:szCs w:val="28"/>
        </w:rPr>
      </w:pPr>
      <w:r>
        <w:rPr>
          <w:rFonts w:ascii="標楷體" w:eastAsia="標楷體" w:hAnsi="標楷體"/>
          <w:color w:val="333333"/>
          <w:sz w:val="30"/>
          <w:szCs w:val="28"/>
          <w:shd w:val="clear" w:color="auto" w:fill="D8D8D8"/>
        </w:rPr>
        <w:br/>
      </w:r>
    </w:p>
    <w:p w14:paraId="5BEC4CFD" w14:textId="77777777" w:rsidR="00AB6B8F" w:rsidRDefault="00AB6B8F">
      <w:pPr>
        <w:spacing w:line="440" w:lineRule="exact"/>
        <w:jc w:val="both"/>
        <w:rPr>
          <w:rFonts w:ascii="標楷體" w:eastAsia="標楷體" w:hAnsi="標楷體"/>
          <w:color w:val="333333"/>
          <w:sz w:val="30"/>
          <w:szCs w:val="28"/>
        </w:rPr>
      </w:pPr>
    </w:p>
    <w:p w14:paraId="13526153" w14:textId="727E2CE5" w:rsidR="00AB6B8F" w:rsidRDefault="00AB6B8F" w:rsidP="00911506">
      <w:pPr>
        <w:spacing w:line="440" w:lineRule="exact"/>
        <w:ind w:left="1500" w:hanging="1500"/>
        <w:rPr>
          <w:rFonts w:ascii="標楷體" w:eastAsia="標楷體" w:hAnsi="標楷體"/>
          <w:color w:val="333333"/>
          <w:sz w:val="30"/>
          <w:szCs w:val="28"/>
        </w:rPr>
      </w:pPr>
      <w:r>
        <w:rPr>
          <w:rFonts w:ascii="標楷體" w:eastAsia="標楷體" w:hAnsi="標楷體"/>
          <w:color w:val="333333"/>
          <w:sz w:val="30"/>
          <w:szCs w:val="28"/>
        </w:rPr>
        <w:t>處理方式：</w:t>
      </w:r>
      <w:r w:rsidR="00A32D23">
        <w:rPr>
          <w:rFonts w:ascii="標楷體" w:eastAsia="標楷體" w:hAnsi="標楷體"/>
          <w:color w:val="333333"/>
          <w:sz w:val="30"/>
          <w:szCs w:val="28"/>
        </w:rPr>
        <w:t>□</w:t>
      </w:r>
      <w:r>
        <w:rPr>
          <w:rFonts w:ascii="標楷體" w:eastAsia="標楷體" w:hAnsi="標楷體"/>
          <w:color w:val="333333"/>
          <w:sz w:val="30"/>
          <w:szCs w:val="28"/>
        </w:rPr>
        <w:t>可公開查詢</w:t>
      </w:r>
    </w:p>
    <w:p w14:paraId="5A6C77B4" w14:textId="77777777" w:rsidR="00C62DAD" w:rsidRDefault="00C62DAD">
      <w:pPr>
        <w:spacing w:line="440" w:lineRule="exact"/>
        <w:jc w:val="both"/>
        <w:rPr>
          <w:rFonts w:ascii="標楷體" w:eastAsia="標楷體" w:hAnsi="標楷體"/>
          <w:color w:val="333333"/>
          <w:sz w:val="30"/>
          <w:szCs w:val="28"/>
        </w:rPr>
      </w:pPr>
    </w:p>
    <w:p w14:paraId="0E392A55" w14:textId="77777777" w:rsidR="00AB6B8F" w:rsidRDefault="00AB6B8F">
      <w:pPr>
        <w:spacing w:line="440" w:lineRule="exact"/>
        <w:jc w:val="both"/>
        <w:rPr>
          <w:rFonts w:ascii="標楷體" w:eastAsia="標楷體" w:hAnsi="標楷體"/>
          <w:color w:val="333333"/>
          <w:sz w:val="30"/>
          <w:szCs w:val="28"/>
        </w:rPr>
      </w:pPr>
      <w:r>
        <w:rPr>
          <w:rFonts w:ascii="標楷體" w:eastAsia="標楷體" w:hAnsi="標楷體"/>
          <w:color w:val="333333"/>
          <w:sz w:val="30"/>
          <w:szCs w:val="28"/>
        </w:rPr>
        <w:t xml:space="preserve">         </w:t>
      </w:r>
    </w:p>
    <w:p w14:paraId="4219AE9C" w14:textId="77777777" w:rsidR="00AB6B8F" w:rsidRDefault="00AB6B8F">
      <w:pPr>
        <w:spacing w:line="440" w:lineRule="exact"/>
        <w:jc w:val="both"/>
        <w:rPr>
          <w:rFonts w:ascii="標楷體" w:eastAsia="標楷體" w:hAnsi="標楷體"/>
          <w:color w:val="333333"/>
          <w:sz w:val="30"/>
          <w:szCs w:val="28"/>
        </w:rPr>
      </w:pPr>
      <w:r>
        <w:rPr>
          <w:rFonts w:ascii="標楷體" w:eastAsia="標楷體" w:hAnsi="標楷體"/>
          <w:color w:val="333333"/>
          <w:sz w:val="30"/>
          <w:szCs w:val="28"/>
        </w:rPr>
        <w:t>執行單位：</w:t>
      </w:r>
      <w:r w:rsidR="00AC38A6">
        <w:rPr>
          <w:rFonts w:ascii="標楷體" w:eastAsia="標楷體" w:hAnsi="標楷體" w:hint="eastAsia"/>
          <w:color w:val="333333"/>
          <w:sz w:val="30"/>
          <w:szCs w:val="28"/>
        </w:rPr>
        <w:t>義守</w:t>
      </w:r>
      <w:r w:rsidR="006D048D">
        <w:rPr>
          <w:rFonts w:ascii="標楷體" w:eastAsia="標楷體" w:hAnsi="標楷體" w:hint="eastAsia"/>
          <w:color w:val="333333"/>
          <w:sz w:val="30"/>
          <w:szCs w:val="28"/>
        </w:rPr>
        <w:t>大</w:t>
      </w:r>
      <w:r w:rsidR="009C2E40">
        <w:rPr>
          <w:rFonts w:ascii="標楷體" w:eastAsia="標楷體" w:hAnsi="標楷體" w:hint="eastAsia"/>
          <w:color w:val="333333"/>
          <w:sz w:val="30"/>
          <w:szCs w:val="28"/>
        </w:rPr>
        <w:t>學</w:t>
      </w:r>
      <w:r w:rsidR="006D048D">
        <w:rPr>
          <w:rFonts w:ascii="標楷體" w:eastAsia="標楷體" w:hAnsi="標楷體" w:hint="eastAsia"/>
          <w:color w:val="333333"/>
          <w:sz w:val="30"/>
          <w:szCs w:val="28"/>
        </w:rPr>
        <w:t>醫</w:t>
      </w:r>
      <w:r w:rsidR="009C2E40">
        <w:rPr>
          <w:rFonts w:ascii="標楷體" w:eastAsia="標楷體" w:hAnsi="標楷體" w:hint="eastAsia"/>
          <w:color w:val="333333"/>
          <w:sz w:val="30"/>
          <w:szCs w:val="28"/>
        </w:rPr>
        <w:t>學系及</w:t>
      </w:r>
      <w:r w:rsidR="00AC38A6">
        <w:rPr>
          <w:rFonts w:ascii="標楷體" w:eastAsia="標楷體" w:hAnsi="標楷體" w:hint="eastAsia"/>
          <w:color w:val="333333"/>
          <w:sz w:val="30"/>
          <w:szCs w:val="28"/>
        </w:rPr>
        <w:t>義大</w:t>
      </w:r>
      <w:r w:rsidR="009C2E40">
        <w:rPr>
          <w:rFonts w:ascii="標楷體" w:eastAsia="標楷體" w:hAnsi="標楷體" w:hint="eastAsia"/>
          <w:color w:val="333333"/>
          <w:sz w:val="30"/>
          <w:szCs w:val="28"/>
        </w:rPr>
        <w:t>醫</w:t>
      </w:r>
      <w:r w:rsidR="006D048D">
        <w:rPr>
          <w:rFonts w:ascii="標楷體" w:eastAsia="標楷體" w:hAnsi="標楷體" w:hint="eastAsia"/>
          <w:color w:val="333333"/>
          <w:sz w:val="30"/>
          <w:szCs w:val="28"/>
        </w:rPr>
        <w:t>院</w:t>
      </w:r>
      <w:r w:rsidR="007D44ED">
        <w:rPr>
          <w:rFonts w:ascii="標楷體" w:eastAsia="標楷體" w:hAnsi="標楷體" w:hint="eastAsia"/>
          <w:color w:val="333333"/>
          <w:sz w:val="30"/>
          <w:szCs w:val="28"/>
        </w:rPr>
        <w:t>肝</w:t>
      </w:r>
      <w:r w:rsidR="00AC38A6">
        <w:rPr>
          <w:rFonts w:ascii="標楷體" w:eastAsia="標楷體" w:hAnsi="標楷體" w:hint="eastAsia"/>
          <w:color w:val="333333"/>
          <w:sz w:val="30"/>
          <w:szCs w:val="28"/>
        </w:rPr>
        <w:t>病中心</w:t>
      </w:r>
    </w:p>
    <w:p w14:paraId="6E4C6532" w14:textId="77777777" w:rsidR="00CA1BFA" w:rsidRPr="009C2E40" w:rsidRDefault="00CA1BFA">
      <w:pPr>
        <w:spacing w:line="440" w:lineRule="exact"/>
        <w:jc w:val="both"/>
        <w:rPr>
          <w:rFonts w:ascii="標楷體" w:eastAsia="標楷體" w:hAnsi="標楷體"/>
          <w:color w:val="333333"/>
          <w:sz w:val="30"/>
          <w:szCs w:val="28"/>
        </w:rPr>
      </w:pPr>
    </w:p>
    <w:p w14:paraId="03D316CB" w14:textId="77777777" w:rsidR="00AB6B8F" w:rsidRDefault="00AB6B8F">
      <w:pPr>
        <w:spacing w:line="440" w:lineRule="exact"/>
        <w:jc w:val="center"/>
        <w:rPr>
          <w:rFonts w:ascii="標楷體" w:eastAsia="標楷體" w:hAnsi="標楷體"/>
          <w:color w:val="333333"/>
          <w:sz w:val="30"/>
          <w:szCs w:val="28"/>
        </w:rPr>
      </w:pPr>
    </w:p>
    <w:p w14:paraId="541E2550" w14:textId="77777777" w:rsidR="00911506" w:rsidRPr="00235321" w:rsidRDefault="00911506">
      <w:pPr>
        <w:spacing w:line="440" w:lineRule="exact"/>
        <w:jc w:val="center"/>
        <w:rPr>
          <w:rFonts w:ascii="標楷體" w:eastAsia="標楷體" w:hAnsi="標楷體"/>
          <w:color w:val="333333"/>
          <w:sz w:val="30"/>
          <w:szCs w:val="28"/>
        </w:rPr>
      </w:pPr>
    </w:p>
    <w:p w14:paraId="238A576A" w14:textId="77777777" w:rsidR="00570994" w:rsidRDefault="00570994" w:rsidP="00235321">
      <w:pPr>
        <w:spacing w:line="480" w:lineRule="auto"/>
        <w:jc w:val="center"/>
        <w:outlineLvl w:val="0"/>
        <w:rPr>
          <w:b/>
          <w:color w:val="000000"/>
          <w:sz w:val="28"/>
        </w:rPr>
        <w:sectPr w:rsidR="00570994">
          <w:pgSz w:w="11906" w:h="16838"/>
          <w:pgMar w:top="1440" w:right="1800" w:bottom="1440" w:left="1800" w:header="851" w:footer="992" w:gutter="0"/>
          <w:cols w:space="425"/>
          <w:docGrid w:type="lines" w:linePitch="360"/>
        </w:sectPr>
      </w:pPr>
    </w:p>
    <w:p w14:paraId="0D483FD3" w14:textId="7369E5F7" w:rsidR="00235321" w:rsidRPr="000B4710" w:rsidRDefault="00A32D23" w:rsidP="00235321">
      <w:pPr>
        <w:spacing w:line="480" w:lineRule="auto"/>
        <w:jc w:val="center"/>
        <w:outlineLvl w:val="0"/>
        <w:rPr>
          <w:b/>
          <w:color w:val="000000"/>
          <w:sz w:val="28"/>
        </w:rPr>
      </w:pPr>
      <w:r w:rsidRPr="00A32D23">
        <w:rPr>
          <w:b/>
          <w:color w:val="000000"/>
          <w:sz w:val="28"/>
        </w:rPr>
        <w:lastRenderedPageBreak/>
        <w:t>Association between Circulatory Autoantibodies and Eradication of Hepatitis C Virus by Antiviral Therapy with or without Interferon</w:t>
      </w:r>
    </w:p>
    <w:p w14:paraId="27C52B9D" w14:textId="77777777" w:rsidR="002E57B0" w:rsidRPr="002E57B0" w:rsidRDefault="002E57B0" w:rsidP="00570994">
      <w:pPr>
        <w:spacing w:line="480" w:lineRule="auto"/>
        <w:jc w:val="right"/>
        <w:rPr>
          <w:szCs w:val="22"/>
          <w:lang w:val="en-GB"/>
        </w:rPr>
      </w:pPr>
    </w:p>
    <w:p w14:paraId="5226F515" w14:textId="77777777" w:rsidR="002E57B0" w:rsidRPr="002E57B0" w:rsidRDefault="002E57B0" w:rsidP="002E57B0">
      <w:pPr>
        <w:spacing w:line="480" w:lineRule="auto"/>
        <w:rPr>
          <w:szCs w:val="22"/>
          <w:lang w:val="en-GB"/>
        </w:rPr>
      </w:pPr>
    </w:p>
    <w:p w14:paraId="3B9518AC" w14:textId="785CF47D" w:rsidR="00467DF5" w:rsidRPr="00467DF5" w:rsidRDefault="00235321" w:rsidP="00A32D23">
      <w:pPr>
        <w:spacing w:line="480" w:lineRule="auto"/>
        <w:jc w:val="center"/>
        <w:rPr>
          <w:bCs/>
          <w:szCs w:val="22"/>
        </w:rPr>
      </w:pPr>
      <w:r>
        <w:rPr>
          <w:rFonts w:hint="eastAsia"/>
          <w:bCs/>
          <w:szCs w:val="22"/>
        </w:rPr>
        <w:t xml:space="preserve">Reported by </w:t>
      </w:r>
      <w:r w:rsidR="00467DF5" w:rsidRPr="00235321">
        <w:rPr>
          <w:bCs/>
          <w:szCs w:val="22"/>
          <w:u w:val="single"/>
        </w:rPr>
        <w:t>Yao-Chun Hsu</w:t>
      </w:r>
      <w:r w:rsidR="00715928">
        <w:rPr>
          <w:bCs/>
          <w:szCs w:val="22"/>
          <w:vertAlign w:val="superscript"/>
        </w:rPr>
        <w:t>1-</w:t>
      </w:r>
      <w:r w:rsidR="00A32D23">
        <w:rPr>
          <w:bCs/>
          <w:szCs w:val="22"/>
          <w:vertAlign w:val="superscript"/>
        </w:rPr>
        <w:t>2</w:t>
      </w:r>
    </w:p>
    <w:p w14:paraId="61E0437E" w14:textId="77777777" w:rsidR="00467DF5" w:rsidRDefault="00467DF5" w:rsidP="00A32D23">
      <w:pPr>
        <w:spacing w:line="480" w:lineRule="auto"/>
        <w:jc w:val="center"/>
        <w:rPr>
          <w:bCs/>
          <w:szCs w:val="22"/>
        </w:rPr>
      </w:pPr>
      <w:r w:rsidRPr="00467DF5">
        <w:rPr>
          <w:bCs/>
          <w:szCs w:val="22"/>
          <w:vertAlign w:val="superscript"/>
        </w:rPr>
        <w:t>1</w:t>
      </w:r>
      <w:r w:rsidR="009C2E40" w:rsidRPr="009C2E40">
        <w:rPr>
          <w:bCs/>
          <w:szCs w:val="22"/>
        </w:rPr>
        <w:t xml:space="preserve">School of Medicine, </w:t>
      </w:r>
      <w:r w:rsidR="00AC38A6">
        <w:rPr>
          <w:rFonts w:hint="eastAsia"/>
          <w:bCs/>
          <w:szCs w:val="22"/>
        </w:rPr>
        <w:t>I</w:t>
      </w:r>
      <w:r w:rsidR="00AC38A6">
        <w:rPr>
          <w:bCs/>
          <w:szCs w:val="22"/>
        </w:rPr>
        <w:t>-</w:t>
      </w:r>
      <w:r w:rsidR="00AC38A6">
        <w:rPr>
          <w:rFonts w:hint="eastAsia"/>
          <w:bCs/>
          <w:szCs w:val="22"/>
        </w:rPr>
        <w:t>S</w:t>
      </w:r>
      <w:r w:rsidR="00AC38A6">
        <w:rPr>
          <w:bCs/>
          <w:szCs w:val="22"/>
        </w:rPr>
        <w:t>hou University, Kaohsiung</w:t>
      </w:r>
      <w:r w:rsidR="009C2E40" w:rsidRPr="009C2E40">
        <w:rPr>
          <w:bCs/>
          <w:szCs w:val="22"/>
        </w:rPr>
        <w:t>, Taiwan</w:t>
      </w:r>
      <w:r w:rsidR="00AC38A6">
        <w:rPr>
          <w:bCs/>
          <w:szCs w:val="22"/>
        </w:rPr>
        <w:t>;</w:t>
      </w:r>
    </w:p>
    <w:p w14:paraId="14A52F71" w14:textId="0F5FAE05" w:rsidR="00467DF5" w:rsidRPr="00A32D23" w:rsidRDefault="009C2E40" w:rsidP="00A32D23">
      <w:pPr>
        <w:spacing w:line="480" w:lineRule="auto"/>
        <w:jc w:val="center"/>
        <w:rPr>
          <w:rFonts w:hint="eastAsia"/>
          <w:bCs/>
          <w:szCs w:val="22"/>
        </w:rPr>
      </w:pPr>
      <w:r w:rsidRPr="009C2E40">
        <w:rPr>
          <w:rFonts w:hint="eastAsia"/>
          <w:bCs/>
          <w:szCs w:val="22"/>
          <w:vertAlign w:val="superscript"/>
        </w:rPr>
        <w:t>2</w:t>
      </w:r>
      <w:r w:rsidR="00AC38A6">
        <w:rPr>
          <w:bCs/>
          <w:szCs w:val="22"/>
        </w:rPr>
        <w:t>Center for Liver Diseases, E-Da Hospital, Kaohsiung, Taiwan;</w:t>
      </w:r>
    </w:p>
    <w:p w14:paraId="2019B4EE" w14:textId="77777777" w:rsidR="00235321" w:rsidRPr="009C2E40" w:rsidRDefault="00235321" w:rsidP="00235321">
      <w:pPr>
        <w:spacing w:line="480" w:lineRule="auto"/>
        <w:rPr>
          <w:szCs w:val="22"/>
        </w:rPr>
      </w:pPr>
    </w:p>
    <w:p w14:paraId="153ECEC1" w14:textId="77777777" w:rsidR="00CB4E14" w:rsidRPr="00235321" w:rsidRDefault="00CB4E14" w:rsidP="00467DF5">
      <w:pPr>
        <w:spacing w:line="480" w:lineRule="auto"/>
        <w:rPr>
          <w:szCs w:val="22"/>
          <w:lang w:val="en-GB"/>
        </w:rPr>
      </w:pPr>
    </w:p>
    <w:p w14:paraId="258E6FBF" w14:textId="6033A4CD" w:rsidR="00467DF5" w:rsidRDefault="009C2E40" w:rsidP="00467DF5">
      <w:pPr>
        <w:spacing w:line="480" w:lineRule="auto"/>
      </w:pPr>
      <w:r>
        <w:t xml:space="preserve">This study </w:t>
      </w:r>
      <w:r w:rsidR="00A32D23">
        <w:t>will be</w:t>
      </w:r>
      <w:r w:rsidR="00AC38A6">
        <w:t xml:space="preserve"> </w:t>
      </w:r>
      <w:r w:rsidR="00570994" w:rsidRPr="00570994">
        <w:t xml:space="preserve">presented </w:t>
      </w:r>
      <w:r w:rsidR="00A32D23">
        <w:t>at the annual meeting of the American Association for the Study of Liver Diseases (AASLD)</w:t>
      </w:r>
      <w:r w:rsidR="00AC38A6">
        <w:t xml:space="preserve"> </w:t>
      </w:r>
    </w:p>
    <w:p w14:paraId="6461BD9D" w14:textId="77777777" w:rsidR="00235321" w:rsidRPr="00715928" w:rsidRDefault="00235321" w:rsidP="00467DF5">
      <w:pPr>
        <w:spacing w:line="480" w:lineRule="auto"/>
        <w:rPr>
          <w:szCs w:val="22"/>
        </w:rPr>
      </w:pPr>
    </w:p>
    <w:p w14:paraId="14B417F7" w14:textId="77777777" w:rsidR="00235321" w:rsidRPr="00715928" w:rsidRDefault="00235321" w:rsidP="002E57B0">
      <w:pPr>
        <w:spacing w:line="480" w:lineRule="auto"/>
        <w:rPr>
          <w:szCs w:val="22"/>
          <w:lang w:val="en-GB"/>
        </w:rPr>
      </w:pPr>
    </w:p>
    <w:p w14:paraId="5C080FBB" w14:textId="77777777" w:rsidR="00570994" w:rsidRPr="00715928" w:rsidRDefault="00570994" w:rsidP="00235321">
      <w:pPr>
        <w:snapToGrid w:val="0"/>
        <w:spacing w:line="480" w:lineRule="auto"/>
        <w:jc w:val="both"/>
        <w:sectPr w:rsidR="00570994" w:rsidRPr="00715928">
          <w:pgSz w:w="11906" w:h="16838"/>
          <w:pgMar w:top="1440" w:right="1800" w:bottom="1440" w:left="1800" w:header="851" w:footer="992" w:gutter="0"/>
          <w:cols w:space="425"/>
          <w:docGrid w:type="lines" w:linePitch="360"/>
        </w:sectPr>
      </w:pPr>
    </w:p>
    <w:p w14:paraId="3C507132" w14:textId="21DF8801" w:rsidR="00570994" w:rsidRPr="00570994" w:rsidRDefault="00570994" w:rsidP="00570994">
      <w:pPr>
        <w:suppressAutoHyphens/>
        <w:spacing w:line="480" w:lineRule="auto"/>
        <w:jc w:val="both"/>
        <w:rPr>
          <w:bCs/>
          <w:kern w:val="24"/>
          <w:szCs w:val="22"/>
          <w:lang w:val="en-GB"/>
        </w:rPr>
      </w:pPr>
      <w:r w:rsidRPr="00570994">
        <w:rPr>
          <w:b/>
          <w:bCs/>
          <w:kern w:val="24"/>
          <w:szCs w:val="22"/>
        </w:rPr>
        <w:lastRenderedPageBreak/>
        <w:t>Background:</w:t>
      </w:r>
      <w:r w:rsidRPr="00570994">
        <w:rPr>
          <w:bCs/>
          <w:kern w:val="24"/>
          <w:szCs w:val="22"/>
        </w:rPr>
        <w:t xml:space="preserve"> </w:t>
      </w:r>
      <w:r w:rsidR="00A32D23" w:rsidRPr="00A32D23">
        <w:rPr>
          <w:bCs/>
          <w:kern w:val="24"/>
          <w:szCs w:val="22"/>
          <w:lang w:val="en-GB"/>
        </w:rPr>
        <w:t>Chronic hepatitis C virus (HCV) infection is associated with autoimmune manifestations including increased production of autoantibodies such as rheumatoid factor (RF). It remains unclear whether eradication of HCV infection was associated with reduction in autoantibodies and whether the results would differ between interferon-based and interferon-free regimens.</w:t>
      </w:r>
    </w:p>
    <w:p w14:paraId="75135318" w14:textId="28359A18" w:rsidR="00570994" w:rsidRPr="00570994" w:rsidRDefault="00570994" w:rsidP="00570994">
      <w:pPr>
        <w:suppressAutoHyphens/>
        <w:spacing w:line="480" w:lineRule="auto"/>
        <w:jc w:val="both"/>
        <w:rPr>
          <w:bCs/>
          <w:kern w:val="24"/>
          <w:szCs w:val="22"/>
          <w:lang w:val="en-GB"/>
        </w:rPr>
      </w:pPr>
      <w:r w:rsidRPr="00570994">
        <w:rPr>
          <w:b/>
          <w:bCs/>
          <w:kern w:val="24"/>
          <w:szCs w:val="22"/>
          <w:lang w:val="en-GB"/>
        </w:rPr>
        <w:t>Aim:</w:t>
      </w:r>
      <w:r w:rsidRPr="00570994">
        <w:rPr>
          <w:rFonts w:hint="eastAsia"/>
          <w:b/>
          <w:bCs/>
          <w:kern w:val="24"/>
          <w:szCs w:val="22"/>
          <w:lang w:val="en-GB"/>
        </w:rPr>
        <w:t xml:space="preserve"> </w:t>
      </w:r>
      <w:r w:rsidR="00A32D23" w:rsidRPr="00A32D23">
        <w:rPr>
          <w:bCs/>
          <w:kern w:val="24"/>
          <w:szCs w:val="22"/>
        </w:rPr>
        <w:t>We aimed to investigate changes in serum RF following viral eradication in patients with chronic HCV infection who were treated with either pegylated interferon (IFN) plus ribavirin or all-oral direct-acting antiviral agents (DAAs).</w:t>
      </w:r>
    </w:p>
    <w:p w14:paraId="0167A7F3" w14:textId="21872EBD" w:rsidR="00570994" w:rsidRPr="00570994" w:rsidRDefault="00570994" w:rsidP="00570994">
      <w:pPr>
        <w:suppressAutoHyphens/>
        <w:spacing w:line="480" w:lineRule="auto"/>
        <w:jc w:val="both"/>
        <w:rPr>
          <w:rFonts w:cs="Calibri"/>
          <w:bCs/>
          <w:kern w:val="1"/>
          <w:lang w:eastAsia="ar-SA"/>
        </w:rPr>
      </w:pPr>
      <w:r w:rsidRPr="00570994">
        <w:rPr>
          <w:b/>
          <w:bCs/>
          <w:kern w:val="24"/>
          <w:szCs w:val="22"/>
          <w:lang w:val="en-GB"/>
        </w:rPr>
        <w:t>Methods:</w:t>
      </w:r>
      <w:r w:rsidRPr="00570994">
        <w:rPr>
          <w:bCs/>
          <w:kern w:val="24"/>
          <w:szCs w:val="22"/>
          <w:lang w:val="en-GB"/>
        </w:rPr>
        <w:t xml:space="preserve"> </w:t>
      </w:r>
      <w:r w:rsidR="00A32D23" w:rsidRPr="00A32D23">
        <w:rPr>
          <w:rFonts w:cs="Calibri"/>
          <w:bCs/>
          <w:kern w:val="1"/>
          <w:lang w:eastAsia="ar-SA"/>
        </w:rPr>
        <w:t>This is a retrospective cohort study of adult HCV-infected patients treated at a teaching hospital in Taiwan. All patients had detectable HCV RNA at baseline and achieved sustained virological response (SVR) documented 12 or 24 weeks after antiviral treatment. Serum level of IgG RF was measured using latex immunoassay with a detection limit ranging from 0.9 to 2,000 IU/</w:t>
      </w:r>
      <w:proofErr w:type="spellStart"/>
      <w:r w:rsidR="00A32D23" w:rsidRPr="00A32D23">
        <w:rPr>
          <w:rFonts w:cs="Calibri"/>
          <w:bCs/>
          <w:kern w:val="1"/>
          <w:lang w:eastAsia="ar-SA"/>
        </w:rPr>
        <w:t>mL.</w:t>
      </w:r>
      <w:proofErr w:type="spellEnd"/>
      <w:r w:rsidR="00A32D23" w:rsidRPr="00A32D23">
        <w:rPr>
          <w:rFonts w:cs="Calibri"/>
          <w:bCs/>
          <w:kern w:val="1"/>
          <w:lang w:eastAsia="ar-SA"/>
        </w:rPr>
        <w:t xml:space="preserve"> A measurement of 15 IU/mL or above defined RF seropositivity. The changes from baseline to SVR were analyzed and the results were compared between patients treated with IFN-based regimens and those with IFN-free DAAs.</w:t>
      </w:r>
    </w:p>
    <w:p w14:paraId="00A2BBDF" w14:textId="65E06DF3" w:rsidR="00570994" w:rsidRPr="00570994" w:rsidRDefault="00570994" w:rsidP="00570994">
      <w:pPr>
        <w:suppressAutoHyphens/>
        <w:spacing w:line="480" w:lineRule="auto"/>
        <w:jc w:val="both"/>
        <w:rPr>
          <w:bCs/>
          <w:kern w:val="1"/>
          <w:szCs w:val="22"/>
          <w:lang w:eastAsia="ar-SA"/>
        </w:rPr>
      </w:pPr>
      <w:r w:rsidRPr="00570994">
        <w:rPr>
          <w:rFonts w:cs="Calibri"/>
          <w:b/>
          <w:bCs/>
          <w:kern w:val="1"/>
        </w:rPr>
        <w:t xml:space="preserve">Results: </w:t>
      </w:r>
      <w:r w:rsidR="00A32D23" w:rsidRPr="00A32D23">
        <w:rPr>
          <w:rFonts w:cs="Calibri"/>
          <w:bCs/>
          <w:kern w:val="1"/>
        </w:rPr>
        <w:t xml:space="preserve">The study population was composed of 297 patients (female 48.5%, median age 59 years, cirrhosis 16.8%). At baseline, 78 (26.3%) patients were serologically positive for RF. The proportion of RF-positive patients significantly </w:t>
      </w:r>
      <w:r w:rsidR="00A32D23" w:rsidRPr="00A32D23">
        <w:rPr>
          <w:rFonts w:cs="Calibri"/>
          <w:bCs/>
          <w:kern w:val="1"/>
        </w:rPr>
        <w:lastRenderedPageBreak/>
        <w:t>dropped to 16.5% (n=49) at SVR (</w:t>
      </w:r>
      <w:r w:rsidR="00A32D23" w:rsidRPr="00A32D23">
        <w:rPr>
          <w:rFonts w:cs="Calibri"/>
          <w:bCs/>
          <w:i/>
          <w:iCs/>
          <w:kern w:val="1"/>
        </w:rPr>
        <w:t>P</w:t>
      </w:r>
      <w:r w:rsidR="00A32D23" w:rsidRPr="00A32D23">
        <w:rPr>
          <w:rFonts w:cs="Calibri"/>
          <w:bCs/>
          <w:kern w:val="1"/>
        </w:rPr>
        <w:t>&lt;0.001). The median serum level of RF also significantly decreased from 1.6 (interquartile range [IQR], undetectable-15.8) IU/mL to an undetectable level (IQR, undetectable-6.6 IU/mL) (</w:t>
      </w:r>
      <w:r w:rsidR="00A32D23" w:rsidRPr="00A32D23">
        <w:rPr>
          <w:rFonts w:cs="Calibri"/>
          <w:bCs/>
          <w:i/>
          <w:iCs/>
          <w:kern w:val="1"/>
        </w:rPr>
        <w:t>P</w:t>
      </w:r>
      <w:r w:rsidR="00A32D23" w:rsidRPr="00A32D23">
        <w:rPr>
          <w:rFonts w:cs="Calibri"/>
          <w:bCs/>
          <w:kern w:val="1"/>
        </w:rPr>
        <w:t>&lt;0.001). Significant reduction in serum RF was consistently observed in both IFN-based and IFN-free DAA groups. The proportion of RF-positive patients decreased from 24.3% to 15.4% (</w:t>
      </w:r>
      <w:r w:rsidR="00A32D23" w:rsidRPr="00A32D23">
        <w:rPr>
          <w:rFonts w:cs="Calibri"/>
          <w:bCs/>
          <w:i/>
          <w:iCs/>
          <w:kern w:val="1"/>
        </w:rPr>
        <w:t>P</w:t>
      </w:r>
      <w:r w:rsidR="00A32D23" w:rsidRPr="00A32D23">
        <w:rPr>
          <w:rFonts w:cs="Calibri"/>
          <w:bCs/>
          <w:kern w:val="1"/>
        </w:rPr>
        <w:t>=0.001) in IFN-free DAA-treated patients (n=214), and also from 31.3% to 19.3% (</w:t>
      </w:r>
      <w:r w:rsidR="00A32D23" w:rsidRPr="00A32D23">
        <w:rPr>
          <w:rFonts w:cs="Calibri"/>
          <w:bCs/>
          <w:i/>
          <w:iCs/>
          <w:kern w:val="1"/>
        </w:rPr>
        <w:t>P</w:t>
      </w:r>
      <w:r w:rsidR="00A32D23" w:rsidRPr="00A32D23">
        <w:rPr>
          <w:rFonts w:cs="Calibri"/>
          <w:bCs/>
          <w:kern w:val="1"/>
        </w:rPr>
        <w:t>=0.006) in IFN-treated patients (n=83). The changes in RF activity did not differ between patients treated with DAA and those with IFN (</w:t>
      </w:r>
      <w:r w:rsidR="00A32D23" w:rsidRPr="00A32D23">
        <w:rPr>
          <w:rFonts w:cs="Calibri"/>
          <w:bCs/>
          <w:i/>
          <w:iCs/>
          <w:kern w:val="1"/>
        </w:rPr>
        <w:t>P</w:t>
      </w:r>
      <w:r w:rsidR="00A32D23" w:rsidRPr="00A32D23">
        <w:rPr>
          <w:rFonts w:cs="Calibri"/>
          <w:bCs/>
          <w:kern w:val="1"/>
        </w:rPr>
        <w:t>=0.40).</w:t>
      </w:r>
      <w:r w:rsidR="00EE46AE" w:rsidRPr="00EE46AE">
        <w:rPr>
          <w:rFonts w:cs="Calibri"/>
          <w:bCs/>
          <w:kern w:val="1"/>
        </w:rPr>
        <w:t xml:space="preserve"> </w:t>
      </w:r>
      <w:r w:rsidRPr="00570994">
        <w:rPr>
          <w:bCs/>
          <w:kern w:val="1"/>
          <w:szCs w:val="22"/>
          <w:lang w:eastAsia="ar-SA"/>
        </w:rPr>
        <w:t xml:space="preserve"> </w:t>
      </w:r>
    </w:p>
    <w:p w14:paraId="7E0DFC07" w14:textId="23199854" w:rsidR="00570994" w:rsidRPr="00570994" w:rsidRDefault="00570994" w:rsidP="00570994">
      <w:pPr>
        <w:suppressAutoHyphens/>
        <w:spacing w:line="480" w:lineRule="auto"/>
        <w:jc w:val="both"/>
        <w:rPr>
          <w:bCs/>
          <w:kern w:val="24"/>
          <w:szCs w:val="22"/>
          <w:lang w:val="en-GB"/>
        </w:rPr>
      </w:pPr>
      <w:r w:rsidRPr="00570994">
        <w:rPr>
          <w:b/>
          <w:bCs/>
          <w:kern w:val="1"/>
          <w:szCs w:val="22"/>
          <w:lang w:eastAsia="ar-SA"/>
        </w:rPr>
        <w:t>Conclusions:</w:t>
      </w:r>
      <w:r w:rsidR="00EE46AE" w:rsidRPr="00EE46AE">
        <w:t xml:space="preserve"> </w:t>
      </w:r>
      <w:r w:rsidR="00A32D23" w:rsidRPr="00A32D23">
        <w:rPr>
          <w:bCs/>
          <w:kern w:val="1"/>
          <w:szCs w:val="22"/>
          <w:lang w:eastAsia="ar-SA"/>
        </w:rPr>
        <w:t xml:space="preserve">We found that serum level of IgG-RF significantly dropped after eradication of HCV infection and the result was similar with either DAAs or IFN-based regimens. These findings suggest that effective antiviral treatment may decrease the excessive production of autoantibodies and thus ameliorate autoimmunity in patients with chronic HCV infection. </w:t>
      </w:r>
      <w:r w:rsidRPr="00570994">
        <w:rPr>
          <w:rFonts w:cs="Calibri"/>
          <w:bCs/>
          <w:kern w:val="1"/>
          <w:szCs w:val="22"/>
        </w:rPr>
        <w:t xml:space="preserve"> </w:t>
      </w:r>
    </w:p>
    <w:p w14:paraId="798A8FB6" w14:textId="77777777" w:rsidR="00570994" w:rsidRPr="00570994" w:rsidRDefault="00570994" w:rsidP="00570994">
      <w:pPr>
        <w:spacing w:line="480" w:lineRule="auto"/>
        <w:ind w:rightChars="-24" w:right="-58"/>
        <w:jc w:val="both"/>
        <w:rPr>
          <w:rFonts w:cs="Calibri"/>
          <w:b/>
          <w:bCs/>
          <w:kern w:val="1"/>
          <w:szCs w:val="22"/>
          <w:lang w:val="en-GB" w:eastAsia="ar-SA"/>
        </w:rPr>
      </w:pPr>
    </w:p>
    <w:p w14:paraId="53B831AD" w14:textId="61C8038C" w:rsidR="00570994" w:rsidRPr="00D67B21" w:rsidRDefault="00570994" w:rsidP="00570994">
      <w:pPr>
        <w:spacing w:line="480" w:lineRule="auto"/>
        <w:rPr>
          <w:bCs/>
          <w:caps/>
        </w:rPr>
      </w:pPr>
      <w:r w:rsidRPr="00570994">
        <w:rPr>
          <w:rFonts w:cs="Calibri"/>
          <w:b/>
          <w:bCs/>
          <w:kern w:val="1"/>
          <w:szCs w:val="22"/>
          <w:lang w:eastAsia="ar-SA"/>
        </w:rPr>
        <w:t xml:space="preserve">Keywords: </w:t>
      </w:r>
      <w:r w:rsidR="00AC38A6">
        <w:rPr>
          <w:rFonts w:cs="Calibri" w:hint="cs"/>
          <w:bCs/>
          <w:kern w:val="1"/>
          <w:szCs w:val="22"/>
          <w:lang w:eastAsia="ar-SA"/>
        </w:rPr>
        <w:t>c</w:t>
      </w:r>
      <w:r w:rsidR="00AC38A6">
        <w:rPr>
          <w:rFonts w:cs="Calibri"/>
          <w:bCs/>
          <w:kern w:val="1"/>
          <w:szCs w:val="22"/>
          <w:lang w:eastAsia="ar-SA"/>
        </w:rPr>
        <w:t xml:space="preserve">hronic </w:t>
      </w:r>
      <w:r w:rsidR="00A32D23">
        <w:rPr>
          <w:rFonts w:cs="Calibri"/>
          <w:bCs/>
          <w:kern w:val="1"/>
          <w:szCs w:val="22"/>
          <w:lang w:eastAsia="ar-SA"/>
        </w:rPr>
        <w:t xml:space="preserve">viral </w:t>
      </w:r>
      <w:r w:rsidR="00AC38A6">
        <w:rPr>
          <w:rFonts w:cs="Calibri"/>
          <w:bCs/>
          <w:kern w:val="1"/>
          <w:szCs w:val="22"/>
          <w:lang w:eastAsia="ar-SA"/>
        </w:rPr>
        <w:t xml:space="preserve">hepatitis </w:t>
      </w:r>
      <w:r w:rsidR="00A32D23">
        <w:rPr>
          <w:rFonts w:cs="Calibri"/>
          <w:bCs/>
          <w:kern w:val="1"/>
          <w:szCs w:val="22"/>
          <w:lang w:eastAsia="ar-SA"/>
        </w:rPr>
        <w:t>C</w:t>
      </w:r>
      <w:r w:rsidR="00AC38A6">
        <w:rPr>
          <w:rFonts w:cs="Calibri"/>
          <w:bCs/>
          <w:kern w:val="1"/>
          <w:szCs w:val="22"/>
          <w:lang w:eastAsia="ar-SA"/>
        </w:rPr>
        <w:t>;</w:t>
      </w:r>
      <w:r w:rsidR="00AC38A6">
        <w:rPr>
          <w:rFonts w:cs="Calibri" w:hint="eastAsia"/>
          <w:bCs/>
          <w:kern w:val="1"/>
          <w:szCs w:val="22"/>
          <w:lang w:eastAsia="ar-SA"/>
        </w:rPr>
        <w:t xml:space="preserve"> </w:t>
      </w:r>
      <w:r w:rsidR="00A32D23">
        <w:rPr>
          <w:rFonts w:cs="Calibri"/>
          <w:bCs/>
          <w:kern w:val="1"/>
          <w:szCs w:val="22"/>
          <w:lang w:eastAsia="ar-SA"/>
        </w:rPr>
        <w:t>rheumatoid factor</w:t>
      </w:r>
      <w:r w:rsidR="00AC38A6">
        <w:rPr>
          <w:rFonts w:cs="Calibri" w:hint="cs"/>
          <w:bCs/>
          <w:kern w:val="1"/>
          <w:szCs w:val="22"/>
          <w:lang w:eastAsia="ar-SA"/>
        </w:rPr>
        <w:t xml:space="preserve">; </w:t>
      </w:r>
      <w:r w:rsidR="00A32D23">
        <w:rPr>
          <w:rFonts w:cs="Calibri"/>
          <w:bCs/>
          <w:kern w:val="1"/>
          <w:szCs w:val="22"/>
          <w:lang w:eastAsia="ar-SA"/>
        </w:rPr>
        <w:t>antiviral therapy</w:t>
      </w:r>
      <w:r w:rsidR="00AC38A6">
        <w:rPr>
          <w:rFonts w:cs="Calibri"/>
          <w:bCs/>
          <w:kern w:val="1"/>
          <w:szCs w:val="22"/>
          <w:lang w:eastAsia="ar-SA"/>
        </w:rPr>
        <w:t xml:space="preserve">; </w:t>
      </w:r>
      <w:r w:rsidR="00A32D23">
        <w:rPr>
          <w:rFonts w:cs="Calibri"/>
          <w:bCs/>
          <w:kern w:val="1"/>
          <w:szCs w:val="22"/>
          <w:lang w:eastAsia="ar-SA"/>
        </w:rPr>
        <w:t xml:space="preserve">autoimmunity </w:t>
      </w:r>
      <w:r w:rsidR="00AC38A6" w:rsidRPr="00AC38A6">
        <w:rPr>
          <w:rFonts w:cs="Calibri"/>
          <w:bCs/>
          <w:kern w:val="1"/>
          <w:szCs w:val="22"/>
          <w:lang w:eastAsia="ar-SA"/>
        </w:rPr>
        <w:t xml:space="preserve"> </w:t>
      </w:r>
      <w:r w:rsidR="00EE46AE" w:rsidRPr="00EE46AE">
        <w:rPr>
          <w:rFonts w:cs="Calibri"/>
          <w:bCs/>
          <w:kern w:val="1"/>
          <w:szCs w:val="22"/>
          <w:lang w:eastAsia="ar-SA"/>
        </w:rPr>
        <w:t xml:space="preserve"> </w:t>
      </w:r>
      <w:r w:rsidR="00235321" w:rsidRPr="000B4710">
        <w:rPr>
          <w:b/>
        </w:rPr>
        <w:br w:type="page"/>
      </w:r>
      <w:r w:rsidRPr="00D67B21">
        <w:rPr>
          <w:rFonts w:hint="eastAsia"/>
          <w:b/>
          <w:bCs/>
          <w:caps/>
        </w:rPr>
        <w:lastRenderedPageBreak/>
        <w:t xml:space="preserve">Introduction </w:t>
      </w:r>
    </w:p>
    <w:p w14:paraId="5EEE5D3A" w14:textId="77777777" w:rsidR="00A32D23" w:rsidRDefault="00A32D23" w:rsidP="00A32D23">
      <w:pPr>
        <w:spacing w:line="480" w:lineRule="auto"/>
        <w:ind w:rightChars="-24" w:right="-58"/>
        <w:jc w:val="both"/>
      </w:pPr>
      <w:r>
        <w:t>Hepatitis C virus (HCV) infection is associated with extrahepatic manifestations (EHMs) in up to two thirds of infected patients1, and can include autoimmune and rheumatological complications ranging from arthritis and sicca syndrome2 to vasculitis and glomerulonephritis3. Serological testing also reveals elevated levels of autoantibodies, such as rheumatoid factor (RF), in patients with chronic hepatitis C (CHC)4, providing further evidence of the association between autoimmunity and HCV.</w:t>
      </w:r>
    </w:p>
    <w:p w14:paraId="797B5541" w14:textId="77777777" w:rsidR="00A32D23" w:rsidRDefault="00A32D23" w:rsidP="00A32D23">
      <w:pPr>
        <w:spacing w:line="480" w:lineRule="auto"/>
        <w:ind w:rightChars="-24" w:right="-58"/>
        <w:jc w:val="both"/>
      </w:pPr>
      <w:r>
        <w:t xml:space="preserve">The development of autoimmune EHMs has been theorized to result from the lymphotropic potential of HCV5. Chronic infection with HCV may lead to polyclonal B cell expansion and the production of autoantibodies such as RF and cryoglobulins6. Nevertheless, it remains unclear whether eradication of HCV infection can effectively attenuate autoimmunity, reduce production of autoantibodies, or improve clinical outcomes of autoimmune disorders. Although data from patients with symptomatic mixed cryoglobulinemia were encouraging7, available evidence did not support the effects of viral clearance in reducing incidences of autoimmune catastrophes, systemic lupus erythematosus, rheumatoid arthritis, or autoimmune hepatitis.8-10 </w:t>
      </w:r>
    </w:p>
    <w:p w14:paraId="0B82A0FE" w14:textId="77777777" w:rsidR="00A32D23" w:rsidRDefault="00A32D23" w:rsidP="00A32D23">
      <w:pPr>
        <w:spacing w:line="480" w:lineRule="auto"/>
        <w:ind w:rightChars="-24" w:right="-58"/>
        <w:jc w:val="both"/>
      </w:pPr>
      <w:r>
        <w:t xml:space="preserve">Previous studies, however, were limited by the lack of laboratory measurements and </w:t>
      </w:r>
      <w:r>
        <w:lastRenderedPageBreak/>
        <w:t>low statistical power. Because autoimmune diseases may affect any organ system and typically require a combination of clinical signs and symptoms, as well as specific biomarkers to diagnose, it is conceivably difficult to rely on a few events as the study outcome to investigate the effects of HCV eradication on auto-immunogenicity. Conversely, measurement of the changes in representative autoantibody may serve to gauge the treatment effects. In addition, findings from patients treated with interferon-based regimens may not be extrapolated in the current era of all-oral direct antiviral agents (DAAs)11-13, given that interferon is known to aggravate or induce autoimmune disorders14.</w:t>
      </w:r>
    </w:p>
    <w:p w14:paraId="1E9F83D6" w14:textId="2D66E5D9" w:rsidR="00570994" w:rsidRDefault="00A32D23" w:rsidP="00A32D23">
      <w:pPr>
        <w:spacing w:line="480" w:lineRule="auto"/>
        <w:ind w:rightChars="-24" w:right="-58"/>
        <w:jc w:val="both"/>
      </w:pPr>
      <w:r>
        <w:t>In order to elucidate how eradication of HCV infection may attenuate auto-immunogenicity and whether the results may differ between interferon-based and interferon-free regimens, we conducted this study to specifically measure the changes in serum RF following antiviral therapy using either pegylated interferon plus ribavirin or all-oral DAAs without interferon.</w:t>
      </w:r>
    </w:p>
    <w:p w14:paraId="68916CB3" w14:textId="77777777" w:rsidR="00570994" w:rsidRPr="00D67B21" w:rsidRDefault="00570994" w:rsidP="00570994">
      <w:pPr>
        <w:spacing w:line="480" w:lineRule="auto"/>
        <w:ind w:rightChars="-24" w:right="-58"/>
        <w:jc w:val="both"/>
      </w:pPr>
      <w:r>
        <w:rPr>
          <w:rFonts w:hint="eastAsia"/>
        </w:rPr>
        <w:t xml:space="preserve">     </w:t>
      </w:r>
    </w:p>
    <w:p w14:paraId="2E040591" w14:textId="77777777" w:rsidR="00570994" w:rsidRDefault="00570994" w:rsidP="00570994">
      <w:pPr>
        <w:spacing w:line="480" w:lineRule="auto"/>
        <w:ind w:rightChars="-24" w:right="-58"/>
        <w:jc w:val="both"/>
        <w:rPr>
          <w:b/>
        </w:rPr>
      </w:pPr>
      <w:r>
        <w:rPr>
          <w:b/>
        </w:rPr>
        <w:t>METHODS</w:t>
      </w:r>
      <w:r>
        <w:rPr>
          <w:rFonts w:hint="eastAsia"/>
          <w:b/>
        </w:rPr>
        <w:t xml:space="preserve"> </w:t>
      </w:r>
      <w:r>
        <w:rPr>
          <w:b/>
        </w:rPr>
        <w:t>and MATERIALS</w:t>
      </w:r>
    </w:p>
    <w:p w14:paraId="6B564CC9" w14:textId="750776E1" w:rsidR="00F93CD0" w:rsidRPr="00F93CD0" w:rsidRDefault="00F93CD0" w:rsidP="00F93CD0">
      <w:pPr>
        <w:spacing w:line="480" w:lineRule="auto"/>
        <w:jc w:val="both"/>
        <w:rPr>
          <w:b/>
          <w:i/>
          <w:szCs w:val="22"/>
        </w:rPr>
      </w:pPr>
      <w:r w:rsidRPr="00F93CD0">
        <w:rPr>
          <w:b/>
          <w:i/>
          <w:szCs w:val="22"/>
        </w:rPr>
        <w:t>Study setting</w:t>
      </w:r>
      <w:r w:rsidR="00A32D23">
        <w:rPr>
          <w:b/>
          <w:i/>
          <w:szCs w:val="22"/>
        </w:rPr>
        <w:t xml:space="preserve"> and participants</w:t>
      </w:r>
    </w:p>
    <w:p w14:paraId="34932CDA" w14:textId="77777777" w:rsidR="00A32D23" w:rsidRDefault="00877E50" w:rsidP="00A32D23">
      <w:pPr>
        <w:spacing w:line="480" w:lineRule="auto"/>
        <w:jc w:val="both"/>
        <w:rPr>
          <w:szCs w:val="22"/>
        </w:rPr>
      </w:pPr>
      <w:r w:rsidRPr="00877E50">
        <w:rPr>
          <w:rFonts w:hint="eastAsia"/>
          <w:szCs w:val="22"/>
        </w:rPr>
        <w:t>This is a</w:t>
      </w:r>
      <w:r w:rsidRPr="00877E50">
        <w:rPr>
          <w:szCs w:val="22"/>
        </w:rPr>
        <w:t xml:space="preserve"> </w:t>
      </w:r>
      <w:r w:rsidRPr="00877E50">
        <w:rPr>
          <w:rFonts w:hint="eastAsia"/>
          <w:szCs w:val="22"/>
        </w:rPr>
        <w:t>retrospective cohort study</w:t>
      </w:r>
      <w:r w:rsidR="00A32D23">
        <w:rPr>
          <w:szCs w:val="22"/>
        </w:rPr>
        <w:t xml:space="preserve"> conducted in the </w:t>
      </w:r>
      <w:r w:rsidRPr="00877E50">
        <w:rPr>
          <w:szCs w:val="22"/>
        </w:rPr>
        <w:t>E-Da Hospital</w:t>
      </w:r>
      <w:r w:rsidR="00A32D23">
        <w:rPr>
          <w:szCs w:val="22"/>
        </w:rPr>
        <w:t xml:space="preserve"> and E-Da Cancer (Kaohsiung, </w:t>
      </w:r>
      <w:r w:rsidRPr="00877E50">
        <w:rPr>
          <w:szCs w:val="22"/>
        </w:rPr>
        <w:t>Taiwan</w:t>
      </w:r>
      <w:r w:rsidR="00A32D23">
        <w:rPr>
          <w:szCs w:val="22"/>
        </w:rPr>
        <w:t>)</w:t>
      </w:r>
      <w:r w:rsidRPr="00877E50">
        <w:rPr>
          <w:rFonts w:hint="eastAsia"/>
          <w:szCs w:val="22"/>
        </w:rPr>
        <w:t xml:space="preserve">. </w:t>
      </w:r>
      <w:r w:rsidR="00A32D23">
        <w:rPr>
          <w:szCs w:val="22"/>
        </w:rPr>
        <w:t xml:space="preserve">There were </w:t>
      </w:r>
      <w:r w:rsidR="00A32D23" w:rsidRPr="00A32D23">
        <w:rPr>
          <w:szCs w:val="22"/>
        </w:rPr>
        <w:t xml:space="preserve">297 adult HCV-infected patients (female </w:t>
      </w:r>
      <w:r w:rsidR="00A32D23" w:rsidRPr="00A32D23">
        <w:rPr>
          <w:szCs w:val="22"/>
        </w:rPr>
        <w:lastRenderedPageBreak/>
        <w:t>48.5%, median age 59 years, cirrhosis 16.8%) treated with eradicative antiviral therapies using either DAAs (</w:t>
      </w:r>
      <w:r w:rsidR="00A32D23">
        <w:rPr>
          <w:szCs w:val="22"/>
        </w:rPr>
        <w:t>n=</w:t>
      </w:r>
      <w:r w:rsidR="00A32D23" w:rsidRPr="00A32D23">
        <w:rPr>
          <w:szCs w:val="22"/>
        </w:rPr>
        <w:t>214) or Peg-IFN (</w:t>
      </w:r>
      <w:r w:rsidR="00A32D23">
        <w:rPr>
          <w:szCs w:val="22"/>
        </w:rPr>
        <w:t>n=</w:t>
      </w:r>
      <w:r w:rsidR="00A32D23" w:rsidRPr="00A32D23">
        <w:rPr>
          <w:szCs w:val="22"/>
        </w:rPr>
        <w:t xml:space="preserve">83) at E-Da Hospital and E-Da Cancer Hospital. </w:t>
      </w:r>
    </w:p>
    <w:p w14:paraId="6541C096" w14:textId="3D286ECC" w:rsidR="00A32D23" w:rsidRDefault="00A32D23" w:rsidP="00A32D23">
      <w:pPr>
        <w:spacing w:line="480" w:lineRule="auto"/>
        <w:jc w:val="both"/>
        <w:rPr>
          <w:szCs w:val="22"/>
        </w:rPr>
      </w:pPr>
    </w:p>
    <w:p w14:paraId="532F5596" w14:textId="09B1D96D" w:rsidR="00A32D23" w:rsidRPr="00A32D23" w:rsidRDefault="00A32D23" w:rsidP="00A32D23">
      <w:pPr>
        <w:spacing w:line="480" w:lineRule="auto"/>
        <w:jc w:val="both"/>
        <w:rPr>
          <w:rFonts w:hint="eastAsia"/>
          <w:b/>
          <w:bCs/>
          <w:i/>
          <w:iCs/>
          <w:szCs w:val="22"/>
        </w:rPr>
      </w:pPr>
      <w:r w:rsidRPr="00A32D23">
        <w:rPr>
          <w:rFonts w:hint="eastAsia"/>
          <w:b/>
          <w:bCs/>
          <w:i/>
          <w:iCs/>
          <w:szCs w:val="22"/>
        </w:rPr>
        <w:t>An</w:t>
      </w:r>
      <w:r w:rsidRPr="00A32D23">
        <w:rPr>
          <w:b/>
          <w:bCs/>
          <w:i/>
          <w:iCs/>
          <w:szCs w:val="22"/>
        </w:rPr>
        <w:t>tiviral treatment</w:t>
      </w:r>
    </w:p>
    <w:p w14:paraId="49CC27E4" w14:textId="77777777" w:rsidR="00A32D23" w:rsidRDefault="00A32D23" w:rsidP="00A32D23">
      <w:pPr>
        <w:spacing w:line="480" w:lineRule="auto"/>
        <w:jc w:val="both"/>
        <w:rPr>
          <w:szCs w:val="22"/>
        </w:rPr>
      </w:pPr>
      <w:r>
        <w:rPr>
          <w:szCs w:val="22"/>
        </w:rPr>
        <w:t xml:space="preserve">Among them, </w:t>
      </w:r>
      <w:r w:rsidRPr="00A32D23">
        <w:rPr>
          <w:szCs w:val="22"/>
        </w:rPr>
        <w:t>83 patients were treated using Peg-IFN and Ribavirin combination therapy. The dosage of ribavirin was adjusted according to the patient’s weight, and the treatment duration was determined depending on the HCV genotype of each patient. The definition of SVR is the absence of HCV 24 weeks after discontinuing IFN treatment.</w:t>
      </w:r>
      <w:r>
        <w:rPr>
          <w:rFonts w:hint="eastAsia"/>
          <w:szCs w:val="22"/>
        </w:rPr>
        <w:t xml:space="preserve"> </w:t>
      </w:r>
      <w:r w:rsidRPr="00A32D23">
        <w:rPr>
          <w:szCs w:val="22"/>
        </w:rPr>
        <w:t>For the 297 patients in the DAA group, 10 drug combinations were used</w:t>
      </w:r>
      <w:r>
        <w:rPr>
          <w:szCs w:val="22"/>
        </w:rPr>
        <w:t xml:space="preserve"> as follows: </w:t>
      </w:r>
    </w:p>
    <w:p w14:paraId="452BBBD4" w14:textId="3AC270FB" w:rsidR="00A32D23" w:rsidRDefault="00A32D23" w:rsidP="00A32D23">
      <w:pPr>
        <w:numPr>
          <w:ilvl w:val="0"/>
          <w:numId w:val="21"/>
        </w:numPr>
        <w:spacing w:line="480" w:lineRule="auto"/>
        <w:jc w:val="both"/>
        <w:rPr>
          <w:szCs w:val="22"/>
        </w:rPr>
      </w:pPr>
      <w:proofErr w:type="spellStart"/>
      <w:r w:rsidRPr="00A32D23">
        <w:rPr>
          <w:rFonts w:hint="eastAsia"/>
          <w:szCs w:val="22"/>
        </w:rPr>
        <w:t>Viekirax</w:t>
      </w:r>
      <w:proofErr w:type="spellEnd"/>
      <w:r w:rsidRPr="00A32D23">
        <w:rPr>
          <w:rFonts w:hint="eastAsia"/>
          <w:szCs w:val="22"/>
        </w:rPr>
        <w:t xml:space="preserve"> 2# QD</w:t>
      </w:r>
      <w:r w:rsidRPr="00A32D23">
        <w:rPr>
          <w:rFonts w:hint="eastAsia"/>
          <w:szCs w:val="22"/>
        </w:rPr>
        <w:t>，</w:t>
      </w:r>
      <w:proofErr w:type="spellStart"/>
      <w:r w:rsidRPr="00A32D23">
        <w:rPr>
          <w:rFonts w:hint="eastAsia"/>
          <w:szCs w:val="22"/>
        </w:rPr>
        <w:t>Exviera</w:t>
      </w:r>
      <w:proofErr w:type="spellEnd"/>
      <w:r w:rsidRPr="00A32D23">
        <w:rPr>
          <w:rFonts w:hint="eastAsia"/>
          <w:szCs w:val="22"/>
        </w:rPr>
        <w:t xml:space="preserve"> 1# BID</w:t>
      </w:r>
    </w:p>
    <w:p w14:paraId="2B96C9DC" w14:textId="77777777" w:rsidR="00A32D23" w:rsidRDefault="00A32D23" w:rsidP="00A32D23">
      <w:pPr>
        <w:numPr>
          <w:ilvl w:val="0"/>
          <w:numId w:val="21"/>
        </w:numPr>
        <w:spacing w:line="480" w:lineRule="auto"/>
        <w:jc w:val="both"/>
        <w:rPr>
          <w:szCs w:val="22"/>
        </w:rPr>
      </w:pPr>
      <w:proofErr w:type="spellStart"/>
      <w:r w:rsidRPr="00A32D23">
        <w:rPr>
          <w:rFonts w:hint="eastAsia"/>
          <w:szCs w:val="22"/>
        </w:rPr>
        <w:t>Viekirax</w:t>
      </w:r>
      <w:proofErr w:type="spellEnd"/>
      <w:r w:rsidRPr="00A32D23">
        <w:rPr>
          <w:rFonts w:hint="eastAsia"/>
          <w:szCs w:val="22"/>
        </w:rPr>
        <w:t xml:space="preserve"> 2# QD</w:t>
      </w:r>
      <w:r w:rsidRPr="00A32D23">
        <w:rPr>
          <w:rFonts w:hint="eastAsia"/>
          <w:szCs w:val="22"/>
        </w:rPr>
        <w:t>，</w:t>
      </w:r>
      <w:proofErr w:type="spellStart"/>
      <w:r w:rsidRPr="00A32D23">
        <w:rPr>
          <w:rFonts w:hint="eastAsia"/>
          <w:szCs w:val="22"/>
        </w:rPr>
        <w:t>Exviera</w:t>
      </w:r>
      <w:proofErr w:type="spellEnd"/>
      <w:r w:rsidRPr="00A32D23">
        <w:rPr>
          <w:rFonts w:hint="eastAsia"/>
          <w:szCs w:val="22"/>
        </w:rPr>
        <w:t xml:space="preserve"> 1# BID</w:t>
      </w:r>
      <w:r w:rsidRPr="00A32D23">
        <w:rPr>
          <w:rFonts w:hint="eastAsia"/>
          <w:szCs w:val="22"/>
        </w:rPr>
        <w:t>，</w:t>
      </w:r>
      <w:r w:rsidRPr="00A32D23">
        <w:rPr>
          <w:rFonts w:hint="eastAsia"/>
          <w:szCs w:val="22"/>
        </w:rPr>
        <w:t>Ribavirin 800~1000mg</w:t>
      </w:r>
      <w:r w:rsidRPr="00A32D23">
        <w:rPr>
          <w:rFonts w:hint="eastAsia"/>
          <w:szCs w:val="22"/>
        </w:rPr>
        <w:tab/>
      </w:r>
    </w:p>
    <w:p w14:paraId="6A15B6FA" w14:textId="77777777" w:rsidR="00A32D23" w:rsidRDefault="00A32D23" w:rsidP="00A32D23">
      <w:pPr>
        <w:numPr>
          <w:ilvl w:val="0"/>
          <w:numId w:val="21"/>
        </w:numPr>
        <w:spacing w:line="480" w:lineRule="auto"/>
        <w:jc w:val="both"/>
        <w:rPr>
          <w:szCs w:val="22"/>
        </w:rPr>
      </w:pPr>
      <w:proofErr w:type="spellStart"/>
      <w:r w:rsidRPr="00A32D23">
        <w:rPr>
          <w:rFonts w:hint="eastAsia"/>
          <w:szCs w:val="22"/>
        </w:rPr>
        <w:t>Asunaprevir</w:t>
      </w:r>
      <w:proofErr w:type="spellEnd"/>
      <w:r w:rsidRPr="00A32D23">
        <w:rPr>
          <w:rFonts w:hint="eastAsia"/>
          <w:szCs w:val="22"/>
        </w:rPr>
        <w:t xml:space="preserve"> 100mg 1#BID</w:t>
      </w:r>
      <w:r w:rsidRPr="00A32D23">
        <w:rPr>
          <w:rFonts w:hint="eastAsia"/>
          <w:szCs w:val="22"/>
        </w:rPr>
        <w:t>，</w:t>
      </w:r>
      <w:r w:rsidRPr="00A32D23">
        <w:rPr>
          <w:rFonts w:hint="eastAsia"/>
          <w:szCs w:val="22"/>
        </w:rPr>
        <w:t>Daclatasvir 60mg 1#QD</w:t>
      </w:r>
      <w:r w:rsidRPr="00A32D23">
        <w:rPr>
          <w:rFonts w:hint="eastAsia"/>
          <w:szCs w:val="22"/>
        </w:rPr>
        <w:tab/>
      </w:r>
      <w:r w:rsidRPr="00A32D23">
        <w:rPr>
          <w:rFonts w:hint="eastAsia"/>
          <w:szCs w:val="22"/>
        </w:rPr>
        <w:tab/>
      </w:r>
      <w:r w:rsidRPr="00A32D23">
        <w:rPr>
          <w:rFonts w:hint="eastAsia"/>
          <w:szCs w:val="22"/>
        </w:rPr>
        <w:tab/>
      </w:r>
    </w:p>
    <w:p w14:paraId="7BC4D3DD" w14:textId="77777777" w:rsidR="00A32D23" w:rsidRDefault="00A32D23" w:rsidP="00A32D23">
      <w:pPr>
        <w:numPr>
          <w:ilvl w:val="0"/>
          <w:numId w:val="21"/>
        </w:numPr>
        <w:spacing w:line="480" w:lineRule="auto"/>
        <w:jc w:val="both"/>
        <w:rPr>
          <w:szCs w:val="22"/>
        </w:rPr>
      </w:pPr>
      <w:proofErr w:type="spellStart"/>
      <w:r w:rsidRPr="00A32D23">
        <w:rPr>
          <w:szCs w:val="22"/>
        </w:rPr>
        <w:t>Zepatier</w:t>
      </w:r>
      <w:proofErr w:type="spellEnd"/>
      <w:r w:rsidRPr="00A32D23">
        <w:rPr>
          <w:szCs w:val="22"/>
        </w:rPr>
        <w:t xml:space="preserve"> 1#QD(</w:t>
      </w:r>
      <w:proofErr w:type="spellStart"/>
      <w:r w:rsidRPr="00A32D23">
        <w:rPr>
          <w:szCs w:val="22"/>
        </w:rPr>
        <w:t>Elbasvir+Grazoprevir</w:t>
      </w:r>
      <w:proofErr w:type="spellEnd"/>
      <w:r w:rsidRPr="00A32D23">
        <w:rPr>
          <w:szCs w:val="22"/>
        </w:rPr>
        <w:t>)</w:t>
      </w:r>
    </w:p>
    <w:p w14:paraId="49E60AE2" w14:textId="77777777" w:rsidR="00A32D23" w:rsidRDefault="00A32D23" w:rsidP="00A32D23">
      <w:pPr>
        <w:numPr>
          <w:ilvl w:val="0"/>
          <w:numId w:val="21"/>
        </w:numPr>
        <w:spacing w:line="480" w:lineRule="auto"/>
        <w:jc w:val="both"/>
        <w:rPr>
          <w:szCs w:val="22"/>
        </w:rPr>
      </w:pPr>
      <w:proofErr w:type="spellStart"/>
      <w:r w:rsidRPr="00A32D23">
        <w:rPr>
          <w:rFonts w:hint="eastAsia"/>
          <w:szCs w:val="22"/>
        </w:rPr>
        <w:t>Zepatier</w:t>
      </w:r>
      <w:proofErr w:type="spellEnd"/>
      <w:r w:rsidRPr="00A32D23">
        <w:rPr>
          <w:rFonts w:hint="eastAsia"/>
          <w:szCs w:val="22"/>
        </w:rPr>
        <w:t xml:space="preserve"> 1#QD</w:t>
      </w:r>
      <w:r w:rsidRPr="00A32D23">
        <w:rPr>
          <w:rFonts w:hint="eastAsia"/>
          <w:szCs w:val="22"/>
        </w:rPr>
        <w:t>，</w:t>
      </w:r>
      <w:r w:rsidRPr="00A32D23">
        <w:rPr>
          <w:rFonts w:hint="eastAsia"/>
          <w:szCs w:val="22"/>
        </w:rPr>
        <w:t>Ribavirin 800~1000mg</w:t>
      </w:r>
      <w:r w:rsidRPr="00A32D23">
        <w:rPr>
          <w:rFonts w:hint="eastAsia"/>
          <w:szCs w:val="22"/>
        </w:rPr>
        <w:tab/>
      </w:r>
    </w:p>
    <w:p w14:paraId="45FCB7EA" w14:textId="77777777" w:rsidR="00A32D23" w:rsidRDefault="00A32D23" w:rsidP="00A32D23">
      <w:pPr>
        <w:numPr>
          <w:ilvl w:val="0"/>
          <w:numId w:val="21"/>
        </w:numPr>
        <w:spacing w:line="480" w:lineRule="auto"/>
        <w:jc w:val="both"/>
        <w:rPr>
          <w:szCs w:val="22"/>
        </w:rPr>
      </w:pPr>
      <w:proofErr w:type="gramStart"/>
      <w:r w:rsidRPr="00A32D23">
        <w:rPr>
          <w:szCs w:val="22"/>
        </w:rPr>
        <w:t>Harvoni  1</w:t>
      </w:r>
      <w:proofErr w:type="gramEnd"/>
      <w:r w:rsidRPr="00A32D23">
        <w:rPr>
          <w:szCs w:val="22"/>
        </w:rPr>
        <w:t>#QD</w:t>
      </w:r>
    </w:p>
    <w:p w14:paraId="740CF8BC" w14:textId="77777777" w:rsidR="00A32D23" w:rsidRDefault="00A32D23" w:rsidP="00A32D23">
      <w:pPr>
        <w:numPr>
          <w:ilvl w:val="0"/>
          <w:numId w:val="21"/>
        </w:numPr>
        <w:spacing w:line="480" w:lineRule="auto"/>
        <w:jc w:val="both"/>
        <w:rPr>
          <w:szCs w:val="22"/>
        </w:rPr>
      </w:pPr>
      <w:proofErr w:type="gramStart"/>
      <w:r w:rsidRPr="00A32D23">
        <w:rPr>
          <w:szCs w:val="22"/>
        </w:rPr>
        <w:t>Harvoni  1</w:t>
      </w:r>
      <w:proofErr w:type="gramEnd"/>
      <w:r w:rsidRPr="00A32D23">
        <w:rPr>
          <w:szCs w:val="22"/>
        </w:rPr>
        <w:t>#QD+Ribavirin 800~1000mg</w:t>
      </w:r>
    </w:p>
    <w:p w14:paraId="3A3824F2" w14:textId="77777777" w:rsidR="00A32D23" w:rsidRDefault="00A32D23" w:rsidP="00A32D23">
      <w:pPr>
        <w:numPr>
          <w:ilvl w:val="0"/>
          <w:numId w:val="21"/>
        </w:numPr>
        <w:spacing w:line="480" w:lineRule="auto"/>
        <w:jc w:val="both"/>
        <w:rPr>
          <w:szCs w:val="22"/>
        </w:rPr>
      </w:pPr>
      <w:proofErr w:type="spellStart"/>
      <w:proofErr w:type="gramStart"/>
      <w:r w:rsidRPr="00A32D23">
        <w:rPr>
          <w:szCs w:val="22"/>
        </w:rPr>
        <w:t>Sovaldi</w:t>
      </w:r>
      <w:proofErr w:type="spellEnd"/>
      <w:r w:rsidRPr="00A32D23">
        <w:rPr>
          <w:szCs w:val="22"/>
        </w:rPr>
        <w:t xml:space="preserve">  1</w:t>
      </w:r>
      <w:proofErr w:type="gramEnd"/>
      <w:r w:rsidRPr="00A32D23">
        <w:rPr>
          <w:szCs w:val="22"/>
        </w:rPr>
        <w:t>#QD+Ribavirin 800~1000mg</w:t>
      </w:r>
    </w:p>
    <w:p w14:paraId="64E7D474" w14:textId="77777777" w:rsidR="00A32D23" w:rsidRDefault="00A32D23" w:rsidP="00A32D23">
      <w:pPr>
        <w:numPr>
          <w:ilvl w:val="0"/>
          <w:numId w:val="21"/>
        </w:numPr>
        <w:spacing w:line="480" w:lineRule="auto"/>
        <w:jc w:val="both"/>
        <w:rPr>
          <w:szCs w:val="22"/>
        </w:rPr>
      </w:pPr>
      <w:proofErr w:type="spellStart"/>
      <w:proofErr w:type="gramStart"/>
      <w:r w:rsidRPr="00A32D23">
        <w:rPr>
          <w:szCs w:val="22"/>
        </w:rPr>
        <w:lastRenderedPageBreak/>
        <w:t>Sovaldi</w:t>
      </w:r>
      <w:proofErr w:type="spellEnd"/>
      <w:r w:rsidRPr="00A32D23">
        <w:rPr>
          <w:szCs w:val="22"/>
        </w:rPr>
        <w:t xml:space="preserve">  1</w:t>
      </w:r>
      <w:proofErr w:type="gramEnd"/>
      <w:r w:rsidRPr="00A32D23">
        <w:rPr>
          <w:szCs w:val="22"/>
        </w:rPr>
        <w:t>#QD+Daclatasvir 60mg 1#QD</w:t>
      </w:r>
    </w:p>
    <w:p w14:paraId="1BE3A741" w14:textId="026A86F9" w:rsidR="00A32D23" w:rsidRDefault="00A32D23" w:rsidP="00A32D23">
      <w:pPr>
        <w:numPr>
          <w:ilvl w:val="0"/>
          <w:numId w:val="21"/>
        </w:numPr>
        <w:spacing w:line="480" w:lineRule="auto"/>
        <w:jc w:val="both"/>
        <w:rPr>
          <w:szCs w:val="22"/>
        </w:rPr>
      </w:pPr>
      <w:proofErr w:type="spellStart"/>
      <w:r w:rsidRPr="00A32D23">
        <w:rPr>
          <w:szCs w:val="22"/>
        </w:rPr>
        <w:t>Glecaprevir+Pibrentasvir</w:t>
      </w:r>
      <w:proofErr w:type="spellEnd"/>
      <w:r w:rsidRPr="00A32D23">
        <w:rPr>
          <w:szCs w:val="22"/>
        </w:rPr>
        <w:t xml:space="preserve"> 3# QD (</w:t>
      </w:r>
      <w:proofErr w:type="spellStart"/>
      <w:r w:rsidRPr="00A32D23">
        <w:rPr>
          <w:szCs w:val="22"/>
        </w:rPr>
        <w:t>Maviret</w:t>
      </w:r>
      <w:proofErr w:type="spellEnd"/>
      <w:r w:rsidRPr="00A32D23">
        <w:rPr>
          <w:szCs w:val="22"/>
        </w:rPr>
        <w:t>)</w:t>
      </w:r>
    </w:p>
    <w:p w14:paraId="4BC8AA4A" w14:textId="77777777" w:rsidR="00A32D23" w:rsidRPr="00A32D23" w:rsidRDefault="00A32D23" w:rsidP="00A32D23">
      <w:pPr>
        <w:spacing w:line="480" w:lineRule="auto"/>
        <w:ind w:left="360"/>
        <w:jc w:val="both"/>
        <w:rPr>
          <w:rFonts w:hint="eastAsia"/>
          <w:szCs w:val="22"/>
        </w:rPr>
      </w:pPr>
    </w:p>
    <w:p w14:paraId="5ECAA115" w14:textId="290260DB" w:rsidR="00877E50" w:rsidRDefault="00A32D23" w:rsidP="00A32D23">
      <w:pPr>
        <w:spacing w:line="480" w:lineRule="auto"/>
        <w:jc w:val="both"/>
        <w:rPr>
          <w:szCs w:val="22"/>
        </w:rPr>
      </w:pPr>
      <w:r w:rsidRPr="00A32D23">
        <w:rPr>
          <w:szCs w:val="22"/>
        </w:rPr>
        <w:t>Treatment regimens and duration was determined according to the HCV genotype and presence or absence of cirrhosis and hepatic decompensation. SVR was defined as absence of HCV 12 weeks after discontinuing treatment.</w:t>
      </w:r>
      <w:r>
        <w:rPr>
          <w:rFonts w:hint="eastAsia"/>
          <w:szCs w:val="22"/>
        </w:rPr>
        <w:t xml:space="preserve"> </w:t>
      </w:r>
      <w:r w:rsidRPr="00A32D23">
        <w:rPr>
          <w:szCs w:val="22"/>
        </w:rPr>
        <w:t xml:space="preserve">All patients had detectable HCV RNA at baseline and achieved sustained virological response (SVR) documented 12-24 weeks after antiviral treatment. Exclusion criteria include co-infection with HBV or HIV, a history of hepatocellular carcinoma (HCC) or other malignancies, pregnancy, previous treatment involving disease-modifying antirheumatic drugs (DMARDs, both biologic and conventional) or long-term use of oral corticosteroids, or pregnancy.   </w:t>
      </w:r>
    </w:p>
    <w:p w14:paraId="5B4A8181" w14:textId="0DBD6AFB" w:rsidR="00A32D23" w:rsidRDefault="00A32D23" w:rsidP="00A32D23">
      <w:pPr>
        <w:spacing w:line="480" w:lineRule="auto"/>
        <w:jc w:val="both"/>
        <w:rPr>
          <w:szCs w:val="22"/>
        </w:rPr>
      </w:pPr>
    </w:p>
    <w:p w14:paraId="36BDC745" w14:textId="261850B7" w:rsidR="00A32D23" w:rsidRPr="00A32D23" w:rsidRDefault="00A32D23" w:rsidP="00A32D23">
      <w:pPr>
        <w:spacing w:line="480" w:lineRule="auto"/>
        <w:jc w:val="both"/>
        <w:rPr>
          <w:b/>
          <w:bCs/>
          <w:i/>
          <w:iCs/>
          <w:szCs w:val="22"/>
        </w:rPr>
      </w:pPr>
      <w:r w:rsidRPr="00A32D23">
        <w:rPr>
          <w:rFonts w:hint="eastAsia"/>
          <w:b/>
          <w:bCs/>
          <w:i/>
          <w:iCs/>
          <w:szCs w:val="22"/>
        </w:rPr>
        <w:t>M</w:t>
      </w:r>
      <w:r w:rsidRPr="00A32D23">
        <w:rPr>
          <w:b/>
          <w:bCs/>
          <w:i/>
          <w:iCs/>
          <w:szCs w:val="22"/>
        </w:rPr>
        <w:t xml:space="preserve">ethods of Measurements </w:t>
      </w:r>
    </w:p>
    <w:p w14:paraId="0DDD4564" w14:textId="6A703993" w:rsidR="00A32D23" w:rsidRDefault="00A32D23" w:rsidP="00A32D23">
      <w:pPr>
        <w:spacing w:line="480" w:lineRule="auto"/>
        <w:jc w:val="both"/>
        <w:rPr>
          <w:szCs w:val="22"/>
        </w:rPr>
      </w:pPr>
      <w:r w:rsidRPr="00A32D23">
        <w:rPr>
          <w:szCs w:val="22"/>
        </w:rPr>
        <w:t xml:space="preserve">This study utilizes the frozen archived serum of 297 </w:t>
      </w:r>
      <w:proofErr w:type="gramStart"/>
      <w:r w:rsidRPr="00A32D23">
        <w:rPr>
          <w:szCs w:val="22"/>
        </w:rPr>
        <w:t>patients .</w:t>
      </w:r>
      <w:proofErr w:type="gramEnd"/>
      <w:r w:rsidRPr="00A32D23">
        <w:rPr>
          <w:szCs w:val="22"/>
        </w:rPr>
        <w:t xml:space="preserve"> IgM-RF is measured using latex immunoassay (FUJIFILM, Hitachi </w:t>
      </w:r>
      <w:proofErr w:type="spellStart"/>
      <w:r w:rsidRPr="00A32D23">
        <w:rPr>
          <w:szCs w:val="22"/>
        </w:rPr>
        <w:t>Labospect</w:t>
      </w:r>
      <w:proofErr w:type="spellEnd"/>
      <w:r w:rsidRPr="00A32D23">
        <w:rPr>
          <w:szCs w:val="22"/>
        </w:rPr>
        <w:t xml:space="preserve"> Series 008AS). The detection range is 0.9-2,000 IU/mL, and a measurement above 15 IU/mL defined RF positivity. Antinuclear antibody (ANA) is measured using indirect fluorescent antibody technique (</w:t>
      </w:r>
      <w:proofErr w:type="spellStart"/>
      <w:r w:rsidRPr="00A32D23">
        <w:rPr>
          <w:szCs w:val="22"/>
        </w:rPr>
        <w:t>DiaSorin</w:t>
      </w:r>
      <w:proofErr w:type="spellEnd"/>
      <w:r w:rsidRPr="00A32D23">
        <w:rPr>
          <w:szCs w:val="22"/>
        </w:rPr>
        <w:t>, ANA-FAST). Any measurement above 1:80</w:t>
      </w:r>
      <w:proofErr w:type="gramStart"/>
      <w:r w:rsidRPr="00A32D23">
        <w:rPr>
          <w:szCs w:val="22"/>
        </w:rPr>
        <w:t>X  is</w:t>
      </w:r>
      <w:proofErr w:type="gramEnd"/>
      <w:r w:rsidRPr="00A32D23">
        <w:rPr>
          <w:szCs w:val="22"/>
        </w:rPr>
        <w:t xml:space="preserve"> </w:t>
      </w:r>
      <w:r w:rsidRPr="00A32D23">
        <w:rPr>
          <w:szCs w:val="22"/>
        </w:rPr>
        <w:lastRenderedPageBreak/>
        <w:t>considered to be a positive result. Anti-smooth muscle antibody (ASMA) is measured with indirect fluorescent antibody technique (</w:t>
      </w:r>
      <w:proofErr w:type="spellStart"/>
      <w:r w:rsidRPr="00A32D23">
        <w:rPr>
          <w:szCs w:val="22"/>
        </w:rPr>
        <w:t>ImmuGlo</w:t>
      </w:r>
      <w:proofErr w:type="spellEnd"/>
      <w:r w:rsidRPr="00A32D23">
        <w:rPr>
          <w:szCs w:val="22"/>
        </w:rPr>
        <w:t xml:space="preserve"> COMVI Mouse Kidney/Stomach IFA kit), with any result above 1:20x being considered as positive.</w:t>
      </w:r>
    </w:p>
    <w:p w14:paraId="6C99229E" w14:textId="77777777" w:rsidR="00877E50" w:rsidRPr="00877E50" w:rsidRDefault="00877E50" w:rsidP="00877E50">
      <w:pPr>
        <w:spacing w:line="480" w:lineRule="auto"/>
        <w:jc w:val="both"/>
        <w:rPr>
          <w:szCs w:val="22"/>
        </w:rPr>
      </w:pPr>
    </w:p>
    <w:p w14:paraId="49D205CD" w14:textId="77777777" w:rsidR="00877E50" w:rsidRPr="00877E50" w:rsidRDefault="00877E50" w:rsidP="00877E50">
      <w:pPr>
        <w:spacing w:line="480" w:lineRule="auto"/>
        <w:jc w:val="both"/>
        <w:rPr>
          <w:b/>
          <w:i/>
          <w:szCs w:val="22"/>
        </w:rPr>
      </w:pPr>
      <w:r w:rsidRPr="00877E50">
        <w:rPr>
          <w:b/>
          <w:i/>
          <w:szCs w:val="22"/>
        </w:rPr>
        <w:t xml:space="preserve">Statistical analysis </w:t>
      </w:r>
    </w:p>
    <w:p w14:paraId="193573CC" w14:textId="401AE372" w:rsidR="00EE46AE" w:rsidRPr="00F93CD0" w:rsidRDefault="00A32D23" w:rsidP="00877E50">
      <w:pPr>
        <w:spacing w:line="480" w:lineRule="auto"/>
        <w:jc w:val="both"/>
        <w:rPr>
          <w:szCs w:val="22"/>
        </w:rPr>
      </w:pPr>
      <w:r w:rsidRPr="00A32D23">
        <w:rPr>
          <w:szCs w:val="22"/>
        </w:rPr>
        <w:t xml:space="preserve">All statistical analyses were carried out using commercial software (SPSS, version 22.0, IBM Corp., Armonk, NY, USA). Continuous and categorical variables were summarized using the median and interquartile range (IQR) and proportion with exact numbers, respectively. The comparison of baseline and SVR RF positivity was calculated using </w:t>
      </w:r>
      <w:proofErr w:type="spellStart"/>
      <w:r w:rsidRPr="00A32D23">
        <w:rPr>
          <w:szCs w:val="22"/>
        </w:rPr>
        <w:t>McNemar</w:t>
      </w:r>
      <w:proofErr w:type="spellEnd"/>
      <w:r w:rsidRPr="00A32D23">
        <w:rPr>
          <w:szCs w:val="22"/>
        </w:rPr>
        <w:t xml:space="preserve"> test, and for RF value, the Wilcoxon signed rank test. Fisher’s exact test is used to calculate the p-value for RF activity.   The level of significance was set as α=0.05 two-tailed.</w:t>
      </w:r>
      <w:r w:rsidR="00F93CD0" w:rsidRPr="00F93CD0">
        <w:rPr>
          <w:szCs w:val="22"/>
        </w:rPr>
        <w:t xml:space="preserve">  </w:t>
      </w:r>
    </w:p>
    <w:p w14:paraId="32A82949" w14:textId="77777777" w:rsidR="00EE46AE" w:rsidRPr="00EE46AE" w:rsidRDefault="00EE46AE" w:rsidP="00EE46AE">
      <w:pPr>
        <w:spacing w:line="480" w:lineRule="auto"/>
        <w:jc w:val="both"/>
        <w:rPr>
          <w:b/>
          <w:caps/>
          <w:szCs w:val="22"/>
        </w:rPr>
      </w:pPr>
    </w:p>
    <w:p w14:paraId="784496A1" w14:textId="77777777" w:rsidR="00EE46AE" w:rsidRPr="00EE46AE" w:rsidRDefault="00EE46AE" w:rsidP="00EE46AE">
      <w:pPr>
        <w:spacing w:line="480" w:lineRule="auto"/>
        <w:jc w:val="both"/>
        <w:rPr>
          <w:b/>
          <w:caps/>
          <w:szCs w:val="22"/>
        </w:rPr>
      </w:pPr>
      <w:r w:rsidRPr="00EE46AE">
        <w:rPr>
          <w:b/>
          <w:caps/>
          <w:szCs w:val="22"/>
        </w:rPr>
        <w:t>Results</w:t>
      </w:r>
    </w:p>
    <w:p w14:paraId="7A5398C5" w14:textId="77777777" w:rsidR="00F93CD0" w:rsidRPr="00F93CD0" w:rsidRDefault="00F93CD0" w:rsidP="00F93CD0">
      <w:pPr>
        <w:spacing w:line="480" w:lineRule="auto"/>
        <w:jc w:val="both"/>
        <w:rPr>
          <w:b/>
          <w:i/>
          <w:szCs w:val="22"/>
        </w:rPr>
      </w:pPr>
      <w:r w:rsidRPr="00F93CD0">
        <w:rPr>
          <w:b/>
          <w:i/>
          <w:szCs w:val="22"/>
        </w:rPr>
        <w:t>Characteristics of the study cohorts</w:t>
      </w:r>
    </w:p>
    <w:p w14:paraId="7418A830" w14:textId="6F8F8C88" w:rsidR="00823DAC" w:rsidRDefault="00A32D23" w:rsidP="00823DAC">
      <w:pPr>
        <w:spacing w:line="480" w:lineRule="auto"/>
        <w:jc w:val="both"/>
        <w:rPr>
          <w:szCs w:val="22"/>
        </w:rPr>
      </w:pPr>
      <w:r w:rsidRPr="00A32D23">
        <w:rPr>
          <w:szCs w:val="22"/>
        </w:rPr>
        <w:t xml:space="preserve">This study analyzed a total of 297 CHC patients who were successfully treated using either interferon-based or interferon-free regimens. Serum samples were collected from all participants at baseline, before initiating treatment, and SVR. The DAA group is predominantly female (n=123, 57.5%) with a median age of 62 (IQR=54-69) </w:t>
      </w:r>
      <w:r w:rsidRPr="00A32D23">
        <w:rPr>
          <w:szCs w:val="22"/>
        </w:rPr>
        <w:lastRenderedPageBreak/>
        <w:t>and the IFN group is predominantly male (n=62, 74.7%) with a median age of 49 (IQR=41-58). Baseline ANA positivity is 9.3% and 1.2% for DAA and IFN groups, respectively. Demographic and clinical features of the study population at baseline are outlined in</w:t>
      </w:r>
      <w:r w:rsidRPr="00A32D23">
        <w:rPr>
          <w:b/>
          <w:bCs/>
          <w:szCs w:val="22"/>
        </w:rPr>
        <w:t xml:space="preserve"> Table 1</w:t>
      </w:r>
      <w:r w:rsidRPr="00A32D23">
        <w:rPr>
          <w:szCs w:val="22"/>
        </w:rPr>
        <w:t>.</w:t>
      </w:r>
    </w:p>
    <w:p w14:paraId="48A3F281" w14:textId="77777777" w:rsidR="00880B33" w:rsidRDefault="00880B33" w:rsidP="00823DAC">
      <w:pPr>
        <w:spacing w:line="480" w:lineRule="auto"/>
        <w:jc w:val="both"/>
        <w:rPr>
          <w:rFonts w:hint="eastAsia"/>
        </w:rPr>
      </w:pPr>
    </w:p>
    <w:p w14:paraId="1872401B" w14:textId="2E0C453A" w:rsidR="002E5AA6" w:rsidRDefault="00823DAC" w:rsidP="002E5AA6">
      <w:pPr>
        <w:spacing w:line="480" w:lineRule="auto"/>
        <w:jc w:val="both"/>
      </w:pPr>
      <w:r w:rsidRPr="00823DAC">
        <w:t>At baseline, 78 (26.3%) patients were serologically positive for RF. The proportion of RF-positive patients significantly dropped to 16.5% (n=49) at SVR (P&lt;0.001). The median serum level of RF also significantly decreased from 1.6 (interquartile range [IQR], undetectable-15.8) IU/mL to an undetectable level (IQR, undetectable-6.6 IU/mL) (P&lt;0.001). Significant reduction in serum RF was consistently observed in both IFN-based and IFN-free DAA groups</w:t>
      </w:r>
      <w:r w:rsidR="00880B33">
        <w:t xml:space="preserve"> (</w:t>
      </w:r>
      <w:r w:rsidR="00880B33" w:rsidRPr="00880B33">
        <w:rPr>
          <w:rFonts w:hint="eastAsia"/>
          <w:b/>
          <w:bCs/>
        </w:rPr>
        <w:t>Ta</w:t>
      </w:r>
      <w:r w:rsidR="00880B33" w:rsidRPr="00880B33">
        <w:rPr>
          <w:b/>
          <w:bCs/>
        </w:rPr>
        <w:t>ble 2</w:t>
      </w:r>
      <w:r w:rsidR="00880B33">
        <w:t>)</w:t>
      </w:r>
      <w:r w:rsidRPr="00823DAC">
        <w:t>. The proportion of RF-positive patients decreased from 24.3% to 15.4% (</w:t>
      </w:r>
      <w:r w:rsidRPr="00880B33">
        <w:rPr>
          <w:i/>
          <w:iCs/>
        </w:rPr>
        <w:t>P</w:t>
      </w:r>
      <w:r w:rsidRPr="00823DAC">
        <w:t>=0.001) in IFN-free DAA-treated patients, and also from 31.3% to 19.3% (</w:t>
      </w:r>
      <w:r w:rsidRPr="00880B33">
        <w:rPr>
          <w:i/>
          <w:iCs/>
        </w:rPr>
        <w:t>P</w:t>
      </w:r>
      <w:r w:rsidRPr="00823DAC">
        <w:t>=0.006) in IFN-treated patients (</w:t>
      </w:r>
      <w:r w:rsidR="00880B33" w:rsidRPr="00880B33">
        <w:rPr>
          <w:b/>
          <w:bCs/>
        </w:rPr>
        <w:t>Figure 1</w:t>
      </w:r>
      <w:r w:rsidRPr="00823DAC">
        <w:t>). The changes in RF activity did not differ between patients treated with DAA and those with IFN (</w:t>
      </w:r>
      <w:r w:rsidRPr="00880B33">
        <w:rPr>
          <w:i/>
          <w:iCs/>
        </w:rPr>
        <w:t>P</w:t>
      </w:r>
      <w:r w:rsidRPr="00823DAC">
        <w:t>=0.40)</w:t>
      </w:r>
      <w:r w:rsidR="00880B33">
        <w:t xml:space="preserve"> (</w:t>
      </w:r>
      <w:r w:rsidR="00880B33" w:rsidRPr="00880B33">
        <w:rPr>
          <w:b/>
          <w:bCs/>
        </w:rPr>
        <w:t>Figure 2</w:t>
      </w:r>
      <w:r w:rsidR="00880B33">
        <w:t>)</w:t>
      </w:r>
      <w:r w:rsidRPr="00823DAC">
        <w:t>.</w:t>
      </w:r>
    </w:p>
    <w:p w14:paraId="0E2E60A7" w14:textId="32CE38CA" w:rsidR="00823DAC" w:rsidRDefault="00823DAC" w:rsidP="002E5AA6">
      <w:pPr>
        <w:spacing w:line="480" w:lineRule="auto"/>
        <w:jc w:val="both"/>
      </w:pPr>
    </w:p>
    <w:p w14:paraId="2C655D4C" w14:textId="3CDBA96A" w:rsidR="00823DAC" w:rsidRPr="00823DAC" w:rsidRDefault="00823DAC" w:rsidP="002E5AA6">
      <w:pPr>
        <w:spacing w:line="480" w:lineRule="auto"/>
        <w:jc w:val="both"/>
        <w:rPr>
          <w:b/>
          <w:bCs/>
          <w:caps/>
        </w:rPr>
      </w:pPr>
      <w:r w:rsidRPr="00823DAC">
        <w:rPr>
          <w:rFonts w:hint="eastAsia"/>
          <w:b/>
          <w:bCs/>
          <w:caps/>
        </w:rPr>
        <w:t>D</w:t>
      </w:r>
      <w:r w:rsidRPr="00823DAC">
        <w:rPr>
          <w:b/>
          <w:bCs/>
          <w:caps/>
        </w:rPr>
        <w:t xml:space="preserve">iscussion </w:t>
      </w:r>
    </w:p>
    <w:p w14:paraId="31151197" w14:textId="67264AD9" w:rsidR="00823DAC" w:rsidRDefault="00823DAC" w:rsidP="00823DAC">
      <w:pPr>
        <w:spacing w:line="480" w:lineRule="auto"/>
        <w:jc w:val="both"/>
      </w:pPr>
      <w:r>
        <w:t xml:space="preserve">We found that serum level of IgG-RF </w:t>
      </w:r>
      <w:r>
        <w:t>significantly</w:t>
      </w:r>
      <w:r>
        <w:t xml:space="preserve"> dropped after eradication of HCV infection, and that the results were similar with either DAAs or IFN-based regimens. </w:t>
      </w:r>
      <w:r>
        <w:lastRenderedPageBreak/>
        <w:t xml:space="preserve">Though interferon treatment is contraindicated in viral hepatitis patients with autoimmune diseases, our findings did not show a statistically significant difference between autoantibody levels in these two groups. </w:t>
      </w:r>
    </w:p>
    <w:p w14:paraId="1FBABA5F" w14:textId="77777777" w:rsidR="00823DAC" w:rsidRDefault="00823DAC" w:rsidP="00823DAC">
      <w:pPr>
        <w:spacing w:line="480" w:lineRule="auto"/>
        <w:jc w:val="both"/>
      </w:pPr>
    </w:p>
    <w:p w14:paraId="242ED14E" w14:textId="15122D23" w:rsidR="00823DAC" w:rsidRDefault="00823DAC" w:rsidP="00823DAC">
      <w:pPr>
        <w:spacing w:line="480" w:lineRule="auto"/>
        <w:jc w:val="both"/>
      </w:pPr>
      <w:r>
        <w:t>These findings suggest that effective antiviral treatment may decrease the excessive production of autoantibodies and thus ameliorate autoimmunity in patients with chronic HCV infection, regardless of the treatment regimen chosen. In this study, we chose to measure serum IgM-RF because of it can be either type 2 or type 3 cryoglobulin, both of which is associated with longstanding HCV infection and the development of extrahepatic autoimmune manifestations, particularly cryoglobulinemic vasculitis. Past research has shown that the decrease of such autoantibodies after successful anti-tumor necrosis factor alpha therapy using infliximab is associated with clinical improvement in patients with rheumatoid arthritis15, therefore we extrapolate that a similar trend may also reflect improvement of clinical outcomes in CHC patients with autoimmune EHMs. Since both DAA and IFN-treated groups have shown a statistically significant decrease of serum RF levels, we infer that successful eradication of HCV using either method may be equally effective in the treatment of HCV-related autoimmune diseases and should be considered in all patients.</w:t>
      </w:r>
    </w:p>
    <w:p w14:paraId="755A56A7" w14:textId="77777777" w:rsidR="00823DAC" w:rsidRDefault="00823DAC" w:rsidP="00823DAC">
      <w:pPr>
        <w:spacing w:line="480" w:lineRule="auto"/>
        <w:jc w:val="both"/>
      </w:pPr>
    </w:p>
    <w:p w14:paraId="33206B1D" w14:textId="77777777" w:rsidR="00823DAC" w:rsidRDefault="00823DAC" w:rsidP="00823DAC">
      <w:pPr>
        <w:spacing w:line="480" w:lineRule="auto"/>
        <w:jc w:val="both"/>
      </w:pPr>
      <w:r>
        <w:t>In clinical practice, patients with longstanding HCV infection often present with signs and symptoms of systemic autoimmune diseases. Proteinuria, vasculitis, and arthritis are all extra-hepatic features of CHC that may be shared with other autoimmune diseases such as systemic lupus erythematosus, making it at times difficult to ascertain the cause of such symptoms and initiate appropriate treatment. Our research has shown that effective HCV treatment leads to a significant decrease in serum RF, which may play a vital role in the pathogenesis of such EHMs, and also serve to illustrate the benefits of diagnosing and treating CHC early on in the disease process. These findings may be potentially useful to differentiate between different etiologies and serve as biomarkers to assess treatment effectiveness in the context of autoimmunity. Future research may help elucidate whether the decrease of autoantibody levels as observed in this study is truly associated with clinical improvement of autoimmune sequelae of CHC.</w:t>
      </w:r>
    </w:p>
    <w:p w14:paraId="074E03BC" w14:textId="77777777" w:rsidR="00823DAC" w:rsidRDefault="00823DAC" w:rsidP="00823DAC">
      <w:pPr>
        <w:spacing w:line="480" w:lineRule="auto"/>
        <w:jc w:val="both"/>
      </w:pPr>
    </w:p>
    <w:p w14:paraId="65C0A6FA" w14:textId="41AF90AD" w:rsidR="00823DAC" w:rsidRDefault="00823DAC" w:rsidP="00823DAC">
      <w:pPr>
        <w:spacing w:line="480" w:lineRule="auto"/>
        <w:jc w:val="both"/>
      </w:pPr>
      <w:r>
        <w:t xml:space="preserve">This study is limited in several ways. The small sample size may not fully reflect the entire clinical spectrum of HCV-related autoimmunity, and may affect the statistical power of the results. In addition, patients from the IFN cohort are mostly males treated for HCV at a substance abuse clinic. Since females are statistically more </w:t>
      </w:r>
      <w:r>
        <w:lastRenderedPageBreak/>
        <w:t xml:space="preserve">likely to suffer from autoimmune diseases and have higher baseline levels of autoantibodies compared to men, results from this cohort may be </w:t>
      </w:r>
      <w:proofErr w:type="gramStart"/>
      <w:r>
        <w:t>skewed .</w:t>
      </w:r>
      <w:proofErr w:type="gramEnd"/>
      <w:r>
        <w:t xml:space="preserve"> However, it is difficult to adjust the results of our research to account for this gender difference, as there are many factors that contribute to this gender difference and no single test to measure autoimmunity.</w:t>
      </w:r>
    </w:p>
    <w:p w14:paraId="27023099" w14:textId="77777777" w:rsidR="00823DAC" w:rsidRDefault="00823DAC" w:rsidP="00823DAC">
      <w:pPr>
        <w:spacing w:line="480" w:lineRule="auto"/>
        <w:jc w:val="both"/>
      </w:pPr>
    </w:p>
    <w:p w14:paraId="51FF0C71" w14:textId="795AAF40" w:rsidR="00823DAC" w:rsidRDefault="00823DAC" w:rsidP="00823DAC">
      <w:pPr>
        <w:spacing w:line="480" w:lineRule="auto"/>
        <w:jc w:val="both"/>
        <w:rPr>
          <w:rFonts w:hint="eastAsia"/>
        </w:rPr>
      </w:pPr>
      <w:r>
        <w:t xml:space="preserve">Though the risk of developing autoimmune EHMs may decrease after successful HCV eradication, it should be noted that the development of autoimmune disease involves a wide variety of pathological processes aside from autoantibody-mediated mechanisms. In addition, there are multiple other different autoantibodies, such as anti-LKM1, anti-thyroglobulin, and antiphospholipid antibodies, that have been associated with longstanding HCV infection. Lastly, RF and ANA are considered to only be screening tests for autoimmune </w:t>
      </w:r>
      <w:proofErr w:type="gramStart"/>
      <w:r>
        <w:t>diseases ,</w:t>
      </w:r>
      <w:proofErr w:type="gramEnd"/>
      <w:r>
        <w:t xml:space="preserve"> which must be diagnosed by a clinician based on a combination of laboratory data, patient history, and clinical findings. A positive result without accompanying symptoms and signs is not pathognomonic of any autoimmune diseases, and spontaneous clearance of these biomarkers is also possible. Therefore, it cannot be directly ascertained from this study that the incidence and severity of clinical autoimmune diseases will decrease after successful HCV eradication.</w:t>
      </w:r>
    </w:p>
    <w:p w14:paraId="7211FED5" w14:textId="77777777" w:rsidR="002E5AA6" w:rsidRPr="001C3C81" w:rsidRDefault="002E5AA6" w:rsidP="002E5AA6">
      <w:pPr>
        <w:spacing w:line="480" w:lineRule="auto"/>
        <w:jc w:val="both"/>
        <w:sectPr w:rsidR="002E5AA6" w:rsidRPr="001C3C81" w:rsidSect="009C2E40">
          <w:pgSz w:w="11906" w:h="16838" w:code="9"/>
          <w:pgMar w:top="1440" w:right="1758" w:bottom="1440" w:left="1758" w:header="851" w:footer="992" w:gutter="0"/>
          <w:lnNumType w:countBy="1" w:restart="continuous"/>
          <w:cols w:space="425"/>
          <w:docGrid w:type="linesAndChars" w:linePitch="360"/>
        </w:sectPr>
      </w:pPr>
    </w:p>
    <w:p w14:paraId="376A25F8" w14:textId="77777777" w:rsidR="00570994" w:rsidRPr="002E5AA6" w:rsidRDefault="00570994" w:rsidP="00570994">
      <w:pPr>
        <w:pStyle w:val="EndNoteBibliography"/>
        <w:rPr>
          <w:b/>
          <w:caps/>
        </w:rPr>
      </w:pPr>
      <w:r w:rsidRPr="00900061">
        <w:rPr>
          <w:b/>
          <w:caps/>
        </w:rPr>
        <w:lastRenderedPageBreak/>
        <w:t>REFE</w:t>
      </w:r>
      <w:r w:rsidRPr="002E5AA6">
        <w:rPr>
          <w:b/>
          <w:caps/>
        </w:rPr>
        <w:t>RENCES</w:t>
      </w:r>
    </w:p>
    <w:p w14:paraId="7602A338" w14:textId="77777777" w:rsidR="00823DAC" w:rsidRPr="00823DAC" w:rsidRDefault="002E5AA6" w:rsidP="00823DAC">
      <w:pPr>
        <w:spacing w:line="480" w:lineRule="auto"/>
        <w:ind w:left="720" w:hanging="720"/>
        <w:rPr>
          <w:noProof/>
          <w:szCs w:val="22"/>
        </w:rPr>
      </w:pPr>
      <w:r w:rsidRPr="002E5AA6">
        <w:rPr>
          <w:noProof/>
          <w:szCs w:val="22"/>
        </w:rPr>
        <w:t xml:space="preserve">1.    </w:t>
      </w:r>
      <w:r w:rsidR="00823DAC" w:rsidRPr="00823DAC">
        <w:rPr>
          <w:noProof/>
          <w:szCs w:val="22"/>
        </w:rPr>
        <w:t>1.</w:t>
      </w:r>
      <w:r w:rsidR="00823DAC" w:rsidRPr="00823DAC">
        <w:rPr>
          <w:noProof/>
          <w:szCs w:val="22"/>
        </w:rPr>
        <w:tab/>
        <w:t>Cacoub P, Comarmond C. New insights into HCV-related rheumatologic disorders: A review. J Adv Res 2017; 8(2): 89-97.</w:t>
      </w:r>
    </w:p>
    <w:p w14:paraId="5E3CA356" w14:textId="77777777" w:rsidR="00823DAC" w:rsidRPr="00823DAC" w:rsidRDefault="00823DAC" w:rsidP="00823DAC">
      <w:pPr>
        <w:spacing w:line="480" w:lineRule="auto"/>
        <w:ind w:left="720" w:hanging="720"/>
        <w:rPr>
          <w:noProof/>
          <w:szCs w:val="22"/>
        </w:rPr>
      </w:pPr>
      <w:r w:rsidRPr="00823DAC">
        <w:rPr>
          <w:noProof/>
          <w:szCs w:val="22"/>
        </w:rPr>
        <w:t>2.</w:t>
      </w:r>
      <w:r w:rsidRPr="00823DAC">
        <w:rPr>
          <w:noProof/>
          <w:szCs w:val="22"/>
        </w:rPr>
        <w:tab/>
        <w:t>Palazzi C, D'Amico E, D'Angelo S, Gilio M, Olivieri I. Rheumatic manifestations of hepatitis C virus chronic infection: Indications for a correct diagnosis. World J Gastroenterol 2016; 22(4): 1405-10.</w:t>
      </w:r>
    </w:p>
    <w:p w14:paraId="57530E28" w14:textId="77777777" w:rsidR="00823DAC" w:rsidRPr="00823DAC" w:rsidRDefault="00823DAC" w:rsidP="00823DAC">
      <w:pPr>
        <w:spacing w:line="480" w:lineRule="auto"/>
        <w:ind w:left="720" w:hanging="720"/>
        <w:rPr>
          <w:noProof/>
          <w:szCs w:val="22"/>
        </w:rPr>
      </w:pPr>
      <w:r w:rsidRPr="00823DAC">
        <w:rPr>
          <w:noProof/>
          <w:szCs w:val="22"/>
        </w:rPr>
        <w:t>3.</w:t>
      </w:r>
      <w:r w:rsidRPr="00823DAC">
        <w:rPr>
          <w:noProof/>
          <w:szCs w:val="22"/>
        </w:rPr>
        <w:tab/>
        <w:t>Zignego AL, Ferri C, Pileri SA, Caini P, Bianchi FB, Italian Association of the Study of Liver Commission on Extrahepatic Manifestations of HCVi. Extrahepatic manifestations of Hepatitis C Virus infection: a general overview and guidelines for a clinical approach. Dig Liver Dis 2007; 39(1): 2-17.</w:t>
      </w:r>
    </w:p>
    <w:p w14:paraId="2852EE4C" w14:textId="77777777" w:rsidR="00823DAC" w:rsidRPr="00823DAC" w:rsidRDefault="00823DAC" w:rsidP="00823DAC">
      <w:pPr>
        <w:spacing w:line="480" w:lineRule="auto"/>
        <w:ind w:left="720" w:hanging="720"/>
        <w:rPr>
          <w:noProof/>
          <w:szCs w:val="22"/>
        </w:rPr>
      </w:pPr>
      <w:r w:rsidRPr="00823DAC">
        <w:rPr>
          <w:noProof/>
          <w:szCs w:val="22"/>
        </w:rPr>
        <w:t>4.</w:t>
      </w:r>
      <w:r w:rsidRPr="00823DAC">
        <w:rPr>
          <w:noProof/>
          <w:szCs w:val="22"/>
        </w:rPr>
        <w:tab/>
        <w:t>Yang DH, Ho LJ, Lai JH. Useful biomarkers for assessment of hepatitis C virus infection-associated autoimmune disorders. World J Gastroenterol 2014; 20(11): 2962-70.</w:t>
      </w:r>
    </w:p>
    <w:p w14:paraId="108CA451" w14:textId="77777777" w:rsidR="00823DAC" w:rsidRPr="00823DAC" w:rsidRDefault="00823DAC" w:rsidP="00823DAC">
      <w:pPr>
        <w:spacing w:line="480" w:lineRule="auto"/>
        <w:ind w:left="720" w:hanging="720"/>
        <w:rPr>
          <w:noProof/>
          <w:szCs w:val="22"/>
        </w:rPr>
      </w:pPr>
      <w:r w:rsidRPr="00823DAC">
        <w:rPr>
          <w:noProof/>
          <w:szCs w:val="22"/>
        </w:rPr>
        <w:t>5.</w:t>
      </w:r>
      <w:r w:rsidRPr="00823DAC">
        <w:rPr>
          <w:noProof/>
          <w:szCs w:val="22"/>
        </w:rPr>
        <w:tab/>
        <w:t>Zignego AL, Gragnani L, Piluso A, et al. Virus-driven autoimmunity and lymphoproliferation: the example of HCV infection. Expert Rev Clin Immunol 2015; 11(1): 15-31.</w:t>
      </w:r>
    </w:p>
    <w:p w14:paraId="7E886E92" w14:textId="77777777" w:rsidR="00823DAC" w:rsidRPr="00823DAC" w:rsidRDefault="00823DAC" w:rsidP="00823DAC">
      <w:pPr>
        <w:spacing w:line="480" w:lineRule="auto"/>
        <w:ind w:left="720" w:hanging="720"/>
        <w:rPr>
          <w:noProof/>
          <w:szCs w:val="22"/>
        </w:rPr>
      </w:pPr>
      <w:r w:rsidRPr="00823DAC">
        <w:rPr>
          <w:noProof/>
          <w:szCs w:val="22"/>
        </w:rPr>
        <w:t>6.</w:t>
      </w:r>
      <w:r w:rsidRPr="00823DAC">
        <w:rPr>
          <w:noProof/>
          <w:szCs w:val="22"/>
        </w:rPr>
        <w:tab/>
        <w:t>Knight GB, Gao L, Gragnani L, et al. Detection of WA B cells in hepatitis C virus infection: a potential prognostic marker for cryoglobulinemic vasculitis and B cell malignancies. Arthritis Rheum 2010; 62(7): 2152-9.</w:t>
      </w:r>
    </w:p>
    <w:p w14:paraId="5306CB41" w14:textId="77777777" w:rsidR="00823DAC" w:rsidRPr="00823DAC" w:rsidRDefault="00823DAC" w:rsidP="00823DAC">
      <w:pPr>
        <w:spacing w:line="480" w:lineRule="auto"/>
        <w:ind w:left="720" w:hanging="720"/>
        <w:rPr>
          <w:noProof/>
          <w:szCs w:val="22"/>
        </w:rPr>
      </w:pPr>
      <w:r w:rsidRPr="00823DAC">
        <w:rPr>
          <w:noProof/>
          <w:szCs w:val="22"/>
        </w:rPr>
        <w:t>7.</w:t>
      </w:r>
      <w:r w:rsidRPr="00823DAC">
        <w:rPr>
          <w:noProof/>
          <w:szCs w:val="22"/>
        </w:rPr>
        <w:tab/>
        <w:t xml:space="preserve">Fabrizi F, Dixit V, Messa P. Antiviral therapy of symptomatic HCV-associated </w:t>
      </w:r>
      <w:r w:rsidRPr="00823DAC">
        <w:rPr>
          <w:noProof/>
          <w:szCs w:val="22"/>
        </w:rPr>
        <w:lastRenderedPageBreak/>
        <w:t>mixed cryoglobulinemia: meta-analysis of clinical studies. J Med Virol 2013; 85(6): 1019-27.</w:t>
      </w:r>
    </w:p>
    <w:p w14:paraId="46B04BF6" w14:textId="77777777" w:rsidR="00823DAC" w:rsidRPr="00823DAC" w:rsidRDefault="00823DAC" w:rsidP="00823DAC">
      <w:pPr>
        <w:spacing w:line="480" w:lineRule="auto"/>
        <w:ind w:left="720" w:hanging="720"/>
        <w:rPr>
          <w:noProof/>
          <w:szCs w:val="22"/>
        </w:rPr>
      </w:pPr>
      <w:r w:rsidRPr="00823DAC">
        <w:rPr>
          <w:noProof/>
          <w:szCs w:val="22"/>
        </w:rPr>
        <w:t>8.</w:t>
      </w:r>
      <w:r w:rsidRPr="00823DAC">
        <w:rPr>
          <w:noProof/>
          <w:szCs w:val="22"/>
        </w:rPr>
        <w:tab/>
        <w:t>Zeng Y, Chen S, Fu Y, et al. Gut microbiota dysbiosis in patients with hepatitis B virus-induced chronic liver disease covering chronic hepatitis, liver cirrhosis and hepatocellular carcinoma. J Viral Hepat 2020; 27(2): 143-55.</w:t>
      </w:r>
    </w:p>
    <w:p w14:paraId="745F03EA" w14:textId="77777777" w:rsidR="00823DAC" w:rsidRPr="00823DAC" w:rsidRDefault="00823DAC" w:rsidP="00823DAC">
      <w:pPr>
        <w:spacing w:line="480" w:lineRule="auto"/>
        <w:ind w:left="720" w:hanging="720"/>
        <w:rPr>
          <w:noProof/>
          <w:szCs w:val="22"/>
        </w:rPr>
      </w:pPr>
      <w:r w:rsidRPr="00823DAC">
        <w:rPr>
          <w:noProof/>
          <w:szCs w:val="22"/>
        </w:rPr>
        <w:t>9.</w:t>
      </w:r>
      <w:r w:rsidRPr="00823DAC">
        <w:rPr>
          <w:noProof/>
          <w:szCs w:val="22"/>
        </w:rPr>
        <w:tab/>
        <w:t>Hsu YC, Ho HJ, Huang YT, et al. Association between antiviral treatment and extrahepatic outcomes in patients with hepatitis C virus infection. Gut 2015; 64(3): 495-503.</w:t>
      </w:r>
    </w:p>
    <w:p w14:paraId="7C262941" w14:textId="77777777" w:rsidR="00823DAC" w:rsidRPr="00823DAC" w:rsidRDefault="00823DAC" w:rsidP="00823DAC">
      <w:pPr>
        <w:spacing w:line="480" w:lineRule="auto"/>
        <w:ind w:left="720" w:hanging="720"/>
        <w:rPr>
          <w:noProof/>
          <w:szCs w:val="22"/>
        </w:rPr>
      </w:pPr>
      <w:r w:rsidRPr="00823DAC">
        <w:rPr>
          <w:noProof/>
          <w:szCs w:val="22"/>
        </w:rPr>
        <w:t>10.</w:t>
      </w:r>
      <w:r w:rsidRPr="00823DAC">
        <w:rPr>
          <w:noProof/>
          <w:szCs w:val="22"/>
        </w:rPr>
        <w:tab/>
        <w:t>Vento S, Cainelli F, Renzini C, Concia E. Autoimmune hepatitis type 2 induced by HCV and persisting after viral clearance. Lancet 1997; 350(9087): 1298-9.</w:t>
      </w:r>
    </w:p>
    <w:p w14:paraId="5F09AF8D" w14:textId="77777777" w:rsidR="00823DAC" w:rsidRPr="00823DAC" w:rsidRDefault="00823DAC" w:rsidP="00823DAC">
      <w:pPr>
        <w:spacing w:line="480" w:lineRule="auto"/>
        <w:ind w:left="720" w:hanging="720"/>
        <w:rPr>
          <w:noProof/>
          <w:szCs w:val="22"/>
        </w:rPr>
      </w:pPr>
      <w:r w:rsidRPr="00823DAC">
        <w:rPr>
          <w:noProof/>
          <w:szCs w:val="22"/>
        </w:rPr>
        <w:t>11.</w:t>
      </w:r>
      <w:r w:rsidRPr="00823DAC">
        <w:rPr>
          <w:noProof/>
          <w:szCs w:val="22"/>
        </w:rPr>
        <w:tab/>
        <w:t>European Association for the Study of the Liver. Electronic address eee, Clinical Practice Guidelines Panel C, representative EGB, Panel m. EASL recommendations on treatment of hepatitis C: Final update of the series(). J Hepatol 2020; 73(5): 1170-218.</w:t>
      </w:r>
    </w:p>
    <w:p w14:paraId="11A0A7B1" w14:textId="77777777" w:rsidR="00823DAC" w:rsidRPr="00823DAC" w:rsidRDefault="00823DAC" w:rsidP="00823DAC">
      <w:pPr>
        <w:spacing w:line="480" w:lineRule="auto"/>
        <w:ind w:left="720" w:hanging="720"/>
        <w:rPr>
          <w:noProof/>
          <w:szCs w:val="22"/>
        </w:rPr>
      </w:pPr>
      <w:r w:rsidRPr="00823DAC">
        <w:rPr>
          <w:noProof/>
          <w:szCs w:val="22"/>
        </w:rPr>
        <w:t>12.</w:t>
      </w:r>
      <w:r w:rsidRPr="00823DAC">
        <w:rPr>
          <w:noProof/>
          <w:szCs w:val="22"/>
        </w:rPr>
        <w:tab/>
        <w:t>Yu ML, Chen PJ, Dai CY, et al. 2020 Taiwan consensus statement on the management of hepatitis C: Part (II) special populations. J Formos Med Assoc 2020; 119(7): 1135-57.</w:t>
      </w:r>
    </w:p>
    <w:p w14:paraId="5B4DE141" w14:textId="77777777" w:rsidR="00823DAC" w:rsidRPr="00823DAC" w:rsidRDefault="00823DAC" w:rsidP="00823DAC">
      <w:pPr>
        <w:spacing w:line="480" w:lineRule="auto"/>
        <w:ind w:left="720" w:hanging="720"/>
        <w:rPr>
          <w:noProof/>
          <w:szCs w:val="22"/>
        </w:rPr>
      </w:pPr>
      <w:r w:rsidRPr="00823DAC">
        <w:rPr>
          <w:noProof/>
          <w:szCs w:val="22"/>
        </w:rPr>
        <w:t>13.</w:t>
      </w:r>
      <w:r w:rsidRPr="00823DAC">
        <w:rPr>
          <w:noProof/>
          <w:szCs w:val="22"/>
        </w:rPr>
        <w:tab/>
        <w:t xml:space="preserve">AASLD/IDSA HCV guidance panel. Recommendations for testing, managing, </w:t>
      </w:r>
      <w:r w:rsidRPr="00823DAC">
        <w:rPr>
          <w:noProof/>
          <w:szCs w:val="22"/>
        </w:rPr>
        <w:lastRenderedPageBreak/>
        <w:t>and treating hepatitis C. Updated August 27, 2020. 2020.</w:t>
      </w:r>
    </w:p>
    <w:p w14:paraId="55C75E0B" w14:textId="77777777" w:rsidR="00823DAC" w:rsidRPr="00823DAC" w:rsidRDefault="00823DAC" w:rsidP="00823DAC">
      <w:pPr>
        <w:spacing w:line="480" w:lineRule="auto"/>
        <w:ind w:left="720" w:hanging="720"/>
        <w:rPr>
          <w:noProof/>
          <w:szCs w:val="22"/>
        </w:rPr>
      </w:pPr>
      <w:r w:rsidRPr="00823DAC">
        <w:rPr>
          <w:noProof/>
          <w:szCs w:val="22"/>
        </w:rPr>
        <w:t>14.</w:t>
      </w:r>
      <w:r w:rsidRPr="00823DAC">
        <w:rPr>
          <w:noProof/>
          <w:szCs w:val="22"/>
        </w:rPr>
        <w:tab/>
        <w:t>Dumoulin FL, Leifeld L, Sauerbruch T, Spengler U. Autoimmunity induced by interferon-alpha therapy for chronic viral hepatitis. Biomed Pharmacother 1999; 53(5-6): 242-54.</w:t>
      </w:r>
    </w:p>
    <w:p w14:paraId="38D20EFB" w14:textId="331375C9" w:rsidR="002E5AA6" w:rsidRDefault="00823DAC" w:rsidP="00823DAC">
      <w:pPr>
        <w:spacing w:line="480" w:lineRule="auto"/>
        <w:ind w:left="720" w:hanging="720"/>
        <w:rPr>
          <w:noProof/>
          <w:szCs w:val="22"/>
        </w:rPr>
      </w:pPr>
      <w:r w:rsidRPr="00823DAC">
        <w:rPr>
          <w:noProof/>
          <w:szCs w:val="22"/>
        </w:rPr>
        <w:t>15.</w:t>
      </w:r>
      <w:r w:rsidRPr="00823DAC">
        <w:rPr>
          <w:noProof/>
          <w:szCs w:val="22"/>
        </w:rPr>
        <w:tab/>
        <w:t>Alessandri C, Bombardieri M, Papa N, et al. Decrease of anti-cyclic citrullinated peptide antibodies and rheumatoid factor following anti-TNFalpha therapy (infliximab) in rheumatoid arthritis is associated with clinical improvement. Ann Rheum Dis 2004; 63(10): 1218-21.</w:t>
      </w:r>
    </w:p>
    <w:p w14:paraId="455E3942" w14:textId="77777777" w:rsidR="00880B33" w:rsidRDefault="00880B33" w:rsidP="00823DAC">
      <w:pPr>
        <w:spacing w:line="480" w:lineRule="auto"/>
        <w:ind w:left="720" w:hanging="720"/>
        <w:rPr>
          <w:noProof/>
          <w:szCs w:val="22"/>
        </w:rPr>
        <w:sectPr w:rsidR="00880B33" w:rsidSect="001C3C81">
          <w:pgSz w:w="11906" w:h="16838"/>
          <w:pgMar w:top="1440" w:right="1800" w:bottom="1440" w:left="1800" w:header="851" w:footer="992" w:gutter="0"/>
          <w:cols w:space="425"/>
          <w:docGrid w:type="lines" w:linePitch="360"/>
        </w:sectPr>
      </w:pPr>
    </w:p>
    <w:p w14:paraId="1E448505" w14:textId="1A718B02" w:rsidR="00880B33" w:rsidRPr="00221E4B" w:rsidRDefault="00880B33" w:rsidP="00880B33">
      <w:r w:rsidRPr="00880B33">
        <w:rPr>
          <w:b/>
          <w:bCs/>
        </w:rPr>
        <w:lastRenderedPageBreak/>
        <w:t>Table 1</w:t>
      </w:r>
      <w:r>
        <w:t xml:space="preserve">. </w:t>
      </w:r>
      <w:r w:rsidRPr="00221E4B">
        <w:t xml:space="preserve">Baseline </w:t>
      </w:r>
      <w:r>
        <w:t>characteristic</w:t>
      </w:r>
      <w:r w:rsidRPr="00221E4B">
        <w:t xml:space="preserve">s of </w:t>
      </w:r>
      <w:r>
        <w:t xml:space="preserve">patients with </w:t>
      </w:r>
      <w:bookmarkStart w:id="0" w:name="_Hlk72194216"/>
      <w:r>
        <w:t>CHC</w:t>
      </w:r>
      <w:bookmarkEnd w:id="0"/>
      <w:r>
        <w:t xml:space="preserve"> treated with DAA and IFN</w:t>
      </w:r>
    </w:p>
    <w:tbl>
      <w:tblPr>
        <w:tblW w:w="8359" w:type="dxa"/>
        <w:tblBorders>
          <w:top w:val="single" w:sz="4" w:space="0" w:color="auto"/>
        </w:tblBorders>
        <w:tblLook w:val="04A0" w:firstRow="1" w:lastRow="0" w:firstColumn="1" w:lastColumn="0" w:noHBand="0" w:noVBand="1"/>
      </w:tblPr>
      <w:tblGrid>
        <w:gridCol w:w="2410"/>
        <w:gridCol w:w="2974"/>
        <w:gridCol w:w="2975"/>
      </w:tblGrid>
      <w:tr w:rsidR="00E961C7" w:rsidRPr="00221E4B" w14:paraId="13BDED20" w14:textId="77777777" w:rsidTr="00E961C7">
        <w:trPr>
          <w:trHeight w:val="363"/>
        </w:trPr>
        <w:tc>
          <w:tcPr>
            <w:tcW w:w="2410" w:type="dxa"/>
            <w:tcBorders>
              <w:top w:val="single" w:sz="12" w:space="0" w:color="auto"/>
              <w:bottom w:val="single" w:sz="4" w:space="0" w:color="auto"/>
            </w:tcBorders>
            <w:shd w:val="clear" w:color="auto" w:fill="auto"/>
          </w:tcPr>
          <w:p w14:paraId="45AFC5CA" w14:textId="77777777" w:rsidR="00880B33" w:rsidRPr="00221E4B" w:rsidRDefault="00880B33" w:rsidP="00E961C7">
            <w:pPr>
              <w:jc w:val="center"/>
            </w:pPr>
          </w:p>
        </w:tc>
        <w:tc>
          <w:tcPr>
            <w:tcW w:w="2974" w:type="dxa"/>
            <w:tcBorders>
              <w:top w:val="single" w:sz="12" w:space="0" w:color="auto"/>
              <w:bottom w:val="single" w:sz="4" w:space="0" w:color="auto"/>
            </w:tcBorders>
            <w:shd w:val="clear" w:color="auto" w:fill="auto"/>
          </w:tcPr>
          <w:p w14:paraId="0343C056" w14:textId="77777777" w:rsidR="00880B33" w:rsidRPr="00221E4B" w:rsidRDefault="00880B33" w:rsidP="00E961C7">
            <w:pPr>
              <w:jc w:val="center"/>
            </w:pPr>
            <w:r w:rsidRPr="00221E4B">
              <w:t>DAA (n=214)</w:t>
            </w:r>
          </w:p>
        </w:tc>
        <w:tc>
          <w:tcPr>
            <w:tcW w:w="2975" w:type="dxa"/>
            <w:tcBorders>
              <w:top w:val="single" w:sz="12" w:space="0" w:color="auto"/>
              <w:bottom w:val="single" w:sz="4" w:space="0" w:color="auto"/>
            </w:tcBorders>
            <w:shd w:val="clear" w:color="auto" w:fill="auto"/>
          </w:tcPr>
          <w:p w14:paraId="59365093" w14:textId="77777777" w:rsidR="00880B33" w:rsidRPr="00221E4B" w:rsidRDefault="00880B33" w:rsidP="00E961C7">
            <w:pPr>
              <w:jc w:val="center"/>
            </w:pPr>
            <w:r w:rsidRPr="00221E4B">
              <w:t>IFN (n=83)</w:t>
            </w:r>
          </w:p>
        </w:tc>
      </w:tr>
      <w:tr w:rsidR="00E961C7" w:rsidRPr="00221E4B" w14:paraId="492EFD24" w14:textId="77777777" w:rsidTr="00E961C7">
        <w:trPr>
          <w:trHeight w:val="363"/>
        </w:trPr>
        <w:tc>
          <w:tcPr>
            <w:tcW w:w="2410" w:type="dxa"/>
            <w:tcBorders>
              <w:top w:val="single" w:sz="4" w:space="0" w:color="auto"/>
            </w:tcBorders>
            <w:shd w:val="clear" w:color="auto" w:fill="auto"/>
          </w:tcPr>
          <w:p w14:paraId="783EA74F" w14:textId="77777777" w:rsidR="00880B33" w:rsidRPr="00221E4B" w:rsidRDefault="00880B33" w:rsidP="00E961C7">
            <w:pPr>
              <w:jc w:val="center"/>
            </w:pPr>
            <w:r w:rsidRPr="00221E4B">
              <w:t>Age</w:t>
            </w:r>
          </w:p>
        </w:tc>
        <w:tc>
          <w:tcPr>
            <w:tcW w:w="2974" w:type="dxa"/>
            <w:tcBorders>
              <w:top w:val="single" w:sz="4" w:space="0" w:color="auto"/>
            </w:tcBorders>
            <w:shd w:val="clear" w:color="auto" w:fill="auto"/>
          </w:tcPr>
          <w:p w14:paraId="16A574DE" w14:textId="77777777" w:rsidR="00880B33" w:rsidRPr="00221E4B" w:rsidRDefault="00880B33" w:rsidP="00E961C7">
            <w:pPr>
              <w:jc w:val="center"/>
            </w:pPr>
            <w:r w:rsidRPr="00221E4B">
              <w:t>62(54</w:t>
            </w:r>
            <w:r>
              <w:t>-</w:t>
            </w:r>
            <w:r w:rsidRPr="00221E4B">
              <w:t>69)</w:t>
            </w:r>
          </w:p>
        </w:tc>
        <w:tc>
          <w:tcPr>
            <w:tcW w:w="2975" w:type="dxa"/>
            <w:tcBorders>
              <w:top w:val="single" w:sz="4" w:space="0" w:color="auto"/>
            </w:tcBorders>
            <w:shd w:val="clear" w:color="auto" w:fill="auto"/>
          </w:tcPr>
          <w:p w14:paraId="6481232A" w14:textId="77777777" w:rsidR="00880B33" w:rsidRPr="00221E4B" w:rsidRDefault="00880B33" w:rsidP="00E961C7">
            <w:pPr>
              <w:jc w:val="center"/>
            </w:pPr>
            <w:r w:rsidRPr="00221E4B">
              <w:t>49(41</w:t>
            </w:r>
            <w:r>
              <w:t>-</w:t>
            </w:r>
            <w:r w:rsidRPr="00221E4B">
              <w:t>58)</w:t>
            </w:r>
          </w:p>
        </w:tc>
      </w:tr>
      <w:tr w:rsidR="00E961C7" w:rsidRPr="00221E4B" w14:paraId="0CD70FD7" w14:textId="77777777" w:rsidTr="00E961C7">
        <w:trPr>
          <w:trHeight w:val="363"/>
        </w:trPr>
        <w:tc>
          <w:tcPr>
            <w:tcW w:w="2410" w:type="dxa"/>
            <w:shd w:val="clear" w:color="auto" w:fill="auto"/>
          </w:tcPr>
          <w:p w14:paraId="2AB223B9" w14:textId="77777777" w:rsidR="00880B33" w:rsidRPr="00221E4B" w:rsidRDefault="00880B33" w:rsidP="00E961C7">
            <w:pPr>
              <w:jc w:val="center"/>
            </w:pPr>
            <w:r w:rsidRPr="00221E4B">
              <w:t xml:space="preserve">Male, </w:t>
            </w:r>
            <w:r w:rsidRPr="00E961C7">
              <w:rPr>
                <w:i/>
                <w:iCs/>
              </w:rPr>
              <w:t xml:space="preserve">n </w:t>
            </w:r>
            <w:r w:rsidRPr="00221E4B">
              <w:t>(%)</w:t>
            </w:r>
          </w:p>
        </w:tc>
        <w:tc>
          <w:tcPr>
            <w:tcW w:w="2974" w:type="dxa"/>
            <w:shd w:val="clear" w:color="auto" w:fill="auto"/>
          </w:tcPr>
          <w:p w14:paraId="0F113B4A" w14:textId="77777777" w:rsidR="00880B33" w:rsidRPr="00221E4B" w:rsidRDefault="00880B33" w:rsidP="00E961C7">
            <w:pPr>
              <w:jc w:val="center"/>
            </w:pPr>
            <w:r w:rsidRPr="00221E4B">
              <w:t>91(42.5)</w:t>
            </w:r>
          </w:p>
        </w:tc>
        <w:tc>
          <w:tcPr>
            <w:tcW w:w="2975" w:type="dxa"/>
            <w:shd w:val="clear" w:color="auto" w:fill="auto"/>
          </w:tcPr>
          <w:p w14:paraId="231C3983" w14:textId="77777777" w:rsidR="00880B33" w:rsidRPr="00221E4B" w:rsidRDefault="00880B33" w:rsidP="00E961C7">
            <w:pPr>
              <w:jc w:val="center"/>
            </w:pPr>
            <w:r w:rsidRPr="00221E4B">
              <w:t>62(74.7)</w:t>
            </w:r>
          </w:p>
        </w:tc>
      </w:tr>
      <w:tr w:rsidR="00E961C7" w:rsidRPr="00221E4B" w14:paraId="01F124FE" w14:textId="77777777" w:rsidTr="00E961C7">
        <w:trPr>
          <w:trHeight w:val="363"/>
        </w:trPr>
        <w:tc>
          <w:tcPr>
            <w:tcW w:w="2410" w:type="dxa"/>
            <w:shd w:val="clear" w:color="auto" w:fill="auto"/>
          </w:tcPr>
          <w:p w14:paraId="318755E4" w14:textId="77777777" w:rsidR="00880B33" w:rsidRPr="00221E4B" w:rsidRDefault="00880B33" w:rsidP="00E961C7">
            <w:pPr>
              <w:jc w:val="center"/>
            </w:pPr>
            <w:r w:rsidRPr="00221E4B">
              <w:t>Cirrhosis</w:t>
            </w:r>
            <w:r>
              <w:t xml:space="preserve">, </w:t>
            </w:r>
            <w:r w:rsidRPr="00E961C7">
              <w:rPr>
                <w:rFonts w:hint="eastAsia"/>
                <w:i/>
                <w:iCs/>
              </w:rPr>
              <w:t>n</w:t>
            </w:r>
            <w:r w:rsidRPr="00221E4B">
              <w:t xml:space="preserve"> (%)</w:t>
            </w:r>
          </w:p>
        </w:tc>
        <w:tc>
          <w:tcPr>
            <w:tcW w:w="2974" w:type="dxa"/>
            <w:shd w:val="clear" w:color="auto" w:fill="auto"/>
          </w:tcPr>
          <w:p w14:paraId="2FF6DACE" w14:textId="77777777" w:rsidR="00880B33" w:rsidRPr="00221E4B" w:rsidRDefault="00880B33" w:rsidP="00E961C7">
            <w:pPr>
              <w:jc w:val="center"/>
            </w:pPr>
            <w:r w:rsidRPr="00221E4B">
              <w:t>47(22)</w:t>
            </w:r>
          </w:p>
        </w:tc>
        <w:tc>
          <w:tcPr>
            <w:tcW w:w="2975" w:type="dxa"/>
            <w:shd w:val="clear" w:color="auto" w:fill="auto"/>
          </w:tcPr>
          <w:p w14:paraId="2C34D58C" w14:textId="77777777" w:rsidR="00880B33" w:rsidRPr="00221E4B" w:rsidRDefault="00880B33" w:rsidP="00E961C7">
            <w:pPr>
              <w:jc w:val="center"/>
            </w:pPr>
            <w:r w:rsidRPr="00221E4B">
              <w:t>3(3.6)</w:t>
            </w:r>
          </w:p>
        </w:tc>
      </w:tr>
      <w:tr w:rsidR="00E961C7" w:rsidRPr="00221E4B" w14:paraId="581307D8" w14:textId="77777777" w:rsidTr="00E961C7">
        <w:trPr>
          <w:trHeight w:val="363"/>
        </w:trPr>
        <w:tc>
          <w:tcPr>
            <w:tcW w:w="2410" w:type="dxa"/>
            <w:shd w:val="clear" w:color="auto" w:fill="auto"/>
          </w:tcPr>
          <w:p w14:paraId="1B24E28B" w14:textId="77777777" w:rsidR="00880B33" w:rsidRPr="00221E4B" w:rsidRDefault="00880B33" w:rsidP="00E961C7">
            <w:pPr>
              <w:jc w:val="center"/>
            </w:pPr>
            <w:r w:rsidRPr="00221E4B">
              <w:t>AST</w:t>
            </w:r>
            <w:r>
              <w:t xml:space="preserve">, </w:t>
            </w:r>
            <w:r w:rsidRPr="00221E4B">
              <w:t>U/L</w:t>
            </w:r>
          </w:p>
        </w:tc>
        <w:tc>
          <w:tcPr>
            <w:tcW w:w="2974" w:type="dxa"/>
            <w:shd w:val="clear" w:color="auto" w:fill="auto"/>
          </w:tcPr>
          <w:p w14:paraId="71139FCC" w14:textId="77777777" w:rsidR="00880B33" w:rsidRPr="00221E4B" w:rsidRDefault="00880B33" w:rsidP="00E961C7">
            <w:pPr>
              <w:jc w:val="center"/>
            </w:pPr>
            <w:r w:rsidRPr="00221E4B">
              <w:t>57(36.8</w:t>
            </w:r>
            <w:r>
              <w:t>-</w:t>
            </w:r>
            <w:r w:rsidRPr="00221E4B">
              <w:t>97.3)</w:t>
            </w:r>
          </w:p>
        </w:tc>
        <w:tc>
          <w:tcPr>
            <w:tcW w:w="2975" w:type="dxa"/>
            <w:shd w:val="clear" w:color="auto" w:fill="auto"/>
          </w:tcPr>
          <w:p w14:paraId="18E659E3" w14:textId="77777777" w:rsidR="00880B33" w:rsidRPr="00221E4B" w:rsidRDefault="00880B33" w:rsidP="00E961C7">
            <w:pPr>
              <w:jc w:val="center"/>
            </w:pPr>
            <w:r w:rsidRPr="00221E4B">
              <w:t>63(45</w:t>
            </w:r>
            <w:r>
              <w:t>-</w:t>
            </w:r>
            <w:r w:rsidRPr="00221E4B">
              <w:t>97)</w:t>
            </w:r>
          </w:p>
        </w:tc>
      </w:tr>
      <w:tr w:rsidR="00E961C7" w:rsidRPr="00221E4B" w14:paraId="1E00813C" w14:textId="77777777" w:rsidTr="00E961C7">
        <w:trPr>
          <w:trHeight w:val="363"/>
        </w:trPr>
        <w:tc>
          <w:tcPr>
            <w:tcW w:w="2410" w:type="dxa"/>
            <w:shd w:val="clear" w:color="auto" w:fill="auto"/>
          </w:tcPr>
          <w:p w14:paraId="6D20D404" w14:textId="77777777" w:rsidR="00880B33" w:rsidRPr="00221E4B" w:rsidRDefault="00880B33" w:rsidP="00E961C7">
            <w:pPr>
              <w:jc w:val="center"/>
            </w:pPr>
            <w:r w:rsidRPr="00221E4B">
              <w:t>ALT</w:t>
            </w:r>
            <w:r>
              <w:t xml:space="preserve">, </w:t>
            </w:r>
            <w:r w:rsidRPr="00221E4B">
              <w:t>U/L</w:t>
            </w:r>
          </w:p>
        </w:tc>
        <w:tc>
          <w:tcPr>
            <w:tcW w:w="2974" w:type="dxa"/>
            <w:shd w:val="clear" w:color="auto" w:fill="auto"/>
          </w:tcPr>
          <w:p w14:paraId="1F728289" w14:textId="77777777" w:rsidR="00880B33" w:rsidRPr="00221E4B" w:rsidRDefault="00880B33" w:rsidP="00E961C7">
            <w:pPr>
              <w:jc w:val="center"/>
            </w:pPr>
            <w:r w:rsidRPr="00221E4B">
              <w:t>65(39.8</w:t>
            </w:r>
            <w:r>
              <w:t>-</w:t>
            </w:r>
            <w:r w:rsidRPr="00221E4B">
              <w:t>117.3)</w:t>
            </w:r>
          </w:p>
        </w:tc>
        <w:tc>
          <w:tcPr>
            <w:tcW w:w="2975" w:type="dxa"/>
            <w:shd w:val="clear" w:color="auto" w:fill="auto"/>
          </w:tcPr>
          <w:p w14:paraId="07067699" w14:textId="77777777" w:rsidR="00880B33" w:rsidRPr="00221E4B" w:rsidRDefault="00880B33" w:rsidP="00E961C7">
            <w:pPr>
              <w:jc w:val="center"/>
            </w:pPr>
            <w:r w:rsidRPr="00221E4B">
              <w:t>95(53</w:t>
            </w:r>
            <w:r>
              <w:t>-</w:t>
            </w:r>
            <w:r w:rsidRPr="00221E4B">
              <w:t>137)</w:t>
            </w:r>
          </w:p>
        </w:tc>
      </w:tr>
      <w:tr w:rsidR="00E961C7" w:rsidRPr="00221E4B" w14:paraId="637378A5" w14:textId="77777777" w:rsidTr="00E961C7">
        <w:trPr>
          <w:trHeight w:val="363"/>
        </w:trPr>
        <w:tc>
          <w:tcPr>
            <w:tcW w:w="2410" w:type="dxa"/>
            <w:shd w:val="clear" w:color="auto" w:fill="auto"/>
          </w:tcPr>
          <w:p w14:paraId="146A9060" w14:textId="77777777" w:rsidR="00880B33" w:rsidRPr="00221E4B" w:rsidRDefault="00880B33" w:rsidP="00E961C7">
            <w:pPr>
              <w:jc w:val="center"/>
            </w:pPr>
            <w:r w:rsidRPr="00221E4B">
              <w:t>Bilirubin</w:t>
            </w:r>
            <w:r>
              <w:t xml:space="preserve">, </w:t>
            </w:r>
            <w:r w:rsidRPr="00221E4B">
              <w:t>mg/dL</w:t>
            </w:r>
          </w:p>
        </w:tc>
        <w:tc>
          <w:tcPr>
            <w:tcW w:w="2974" w:type="dxa"/>
            <w:shd w:val="clear" w:color="auto" w:fill="auto"/>
          </w:tcPr>
          <w:p w14:paraId="5731617B" w14:textId="77777777" w:rsidR="00880B33" w:rsidRPr="00221E4B" w:rsidRDefault="00880B33" w:rsidP="00E961C7">
            <w:pPr>
              <w:jc w:val="center"/>
            </w:pPr>
            <w:r w:rsidRPr="00221E4B">
              <w:t>1.0(0.9</w:t>
            </w:r>
            <w:r>
              <w:t>-</w:t>
            </w:r>
            <w:r w:rsidRPr="00221E4B">
              <w:t>1.3)</w:t>
            </w:r>
          </w:p>
        </w:tc>
        <w:tc>
          <w:tcPr>
            <w:tcW w:w="2975" w:type="dxa"/>
            <w:shd w:val="clear" w:color="auto" w:fill="auto"/>
          </w:tcPr>
          <w:p w14:paraId="1C7584C7" w14:textId="77777777" w:rsidR="00880B33" w:rsidRPr="00221E4B" w:rsidRDefault="00880B33" w:rsidP="00E961C7">
            <w:pPr>
              <w:jc w:val="center"/>
            </w:pPr>
            <w:r w:rsidRPr="00221E4B">
              <w:t>0.9(0.7</w:t>
            </w:r>
            <w:r>
              <w:t>-</w:t>
            </w:r>
            <w:r w:rsidRPr="00221E4B">
              <w:t>1.1)</w:t>
            </w:r>
          </w:p>
        </w:tc>
      </w:tr>
      <w:tr w:rsidR="00E961C7" w:rsidRPr="00221E4B" w14:paraId="774C5CFE" w14:textId="77777777" w:rsidTr="00E961C7">
        <w:trPr>
          <w:trHeight w:val="363"/>
        </w:trPr>
        <w:tc>
          <w:tcPr>
            <w:tcW w:w="2410" w:type="dxa"/>
            <w:shd w:val="clear" w:color="auto" w:fill="auto"/>
          </w:tcPr>
          <w:p w14:paraId="5FE82E2D" w14:textId="77777777" w:rsidR="00880B33" w:rsidRPr="00221E4B" w:rsidRDefault="00880B33" w:rsidP="00E961C7">
            <w:pPr>
              <w:jc w:val="center"/>
            </w:pPr>
            <w:r w:rsidRPr="00335348">
              <w:t>White blood cell</w:t>
            </w:r>
            <w:r>
              <w:t xml:space="preserve"> count</w:t>
            </w:r>
            <w:r w:rsidRPr="00335348">
              <w:t>, 10</w:t>
            </w:r>
            <w:r w:rsidRPr="00E961C7">
              <w:rPr>
                <w:vertAlign w:val="superscript"/>
              </w:rPr>
              <w:t>3</w:t>
            </w:r>
            <w:r w:rsidRPr="00335348">
              <w:t>/</w:t>
            </w:r>
            <w:proofErr w:type="spellStart"/>
            <w:r w:rsidRPr="00335348">
              <w:t>μl</w:t>
            </w:r>
            <w:proofErr w:type="spellEnd"/>
          </w:p>
        </w:tc>
        <w:tc>
          <w:tcPr>
            <w:tcW w:w="2974" w:type="dxa"/>
            <w:shd w:val="clear" w:color="auto" w:fill="auto"/>
          </w:tcPr>
          <w:p w14:paraId="69406530" w14:textId="77777777" w:rsidR="00880B33" w:rsidRPr="00221E4B" w:rsidRDefault="00880B33" w:rsidP="00E961C7">
            <w:pPr>
              <w:jc w:val="center"/>
            </w:pPr>
            <w:r w:rsidRPr="00221E4B">
              <w:t>5.7(4.7</w:t>
            </w:r>
            <w:r>
              <w:t>-</w:t>
            </w:r>
            <w:r w:rsidRPr="00221E4B">
              <w:t>6.9)</w:t>
            </w:r>
          </w:p>
        </w:tc>
        <w:tc>
          <w:tcPr>
            <w:tcW w:w="2975" w:type="dxa"/>
            <w:shd w:val="clear" w:color="auto" w:fill="auto"/>
          </w:tcPr>
          <w:p w14:paraId="6676D167" w14:textId="77777777" w:rsidR="00880B33" w:rsidRPr="00221E4B" w:rsidRDefault="00880B33" w:rsidP="00E961C7">
            <w:pPr>
              <w:jc w:val="center"/>
            </w:pPr>
            <w:r w:rsidRPr="00221E4B">
              <w:t>6.4(5.1</w:t>
            </w:r>
            <w:r>
              <w:t>-</w:t>
            </w:r>
            <w:r w:rsidRPr="00221E4B">
              <w:t>7.5)</w:t>
            </w:r>
          </w:p>
        </w:tc>
      </w:tr>
      <w:tr w:rsidR="00E961C7" w:rsidRPr="00221E4B" w14:paraId="19BA843F" w14:textId="77777777" w:rsidTr="00E961C7">
        <w:trPr>
          <w:trHeight w:val="363"/>
        </w:trPr>
        <w:tc>
          <w:tcPr>
            <w:tcW w:w="2410" w:type="dxa"/>
            <w:shd w:val="clear" w:color="auto" w:fill="auto"/>
          </w:tcPr>
          <w:p w14:paraId="479870C9" w14:textId="77777777" w:rsidR="00880B33" w:rsidRPr="00221E4B" w:rsidRDefault="00880B33" w:rsidP="00E961C7">
            <w:pPr>
              <w:jc w:val="center"/>
            </w:pPr>
            <w:r w:rsidRPr="00335348">
              <w:t>Hemoglobin, g/dL</w:t>
            </w:r>
          </w:p>
        </w:tc>
        <w:tc>
          <w:tcPr>
            <w:tcW w:w="2974" w:type="dxa"/>
            <w:shd w:val="clear" w:color="auto" w:fill="auto"/>
          </w:tcPr>
          <w:p w14:paraId="3E2BBA3E" w14:textId="77777777" w:rsidR="00880B33" w:rsidRPr="00221E4B" w:rsidRDefault="00880B33" w:rsidP="00E961C7">
            <w:pPr>
              <w:jc w:val="center"/>
            </w:pPr>
            <w:r w:rsidRPr="00221E4B">
              <w:t>14.1(12.8</w:t>
            </w:r>
            <w:r>
              <w:t>-</w:t>
            </w:r>
            <w:r w:rsidRPr="00221E4B">
              <w:t>15.1)</w:t>
            </w:r>
          </w:p>
        </w:tc>
        <w:tc>
          <w:tcPr>
            <w:tcW w:w="2975" w:type="dxa"/>
            <w:shd w:val="clear" w:color="auto" w:fill="auto"/>
          </w:tcPr>
          <w:p w14:paraId="2E94B397" w14:textId="77777777" w:rsidR="00880B33" w:rsidRPr="00221E4B" w:rsidRDefault="00880B33" w:rsidP="00E961C7">
            <w:pPr>
              <w:jc w:val="center"/>
            </w:pPr>
            <w:r w:rsidRPr="00221E4B">
              <w:t>14.8(13.8</w:t>
            </w:r>
            <w:r>
              <w:t>-</w:t>
            </w:r>
            <w:r w:rsidRPr="00221E4B">
              <w:t>16)</w:t>
            </w:r>
          </w:p>
        </w:tc>
      </w:tr>
      <w:tr w:rsidR="00E961C7" w:rsidRPr="00221E4B" w14:paraId="4C636990" w14:textId="77777777" w:rsidTr="00E961C7">
        <w:trPr>
          <w:trHeight w:val="363"/>
        </w:trPr>
        <w:tc>
          <w:tcPr>
            <w:tcW w:w="2410" w:type="dxa"/>
            <w:shd w:val="clear" w:color="auto" w:fill="auto"/>
          </w:tcPr>
          <w:p w14:paraId="237016F1" w14:textId="77777777" w:rsidR="00880B33" w:rsidRPr="00221E4B" w:rsidRDefault="00880B33" w:rsidP="00E961C7">
            <w:pPr>
              <w:jc w:val="center"/>
            </w:pPr>
            <w:r w:rsidRPr="00335348">
              <w:t>Platelet</w:t>
            </w:r>
            <w:r>
              <w:t xml:space="preserve"> count</w:t>
            </w:r>
            <w:r w:rsidRPr="00335348">
              <w:t>, 10</w:t>
            </w:r>
            <w:r w:rsidRPr="00E961C7">
              <w:rPr>
                <w:vertAlign w:val="superscript"/>
              </w:rPr>
              <w:t>3</w:t>
            </w:r>
            <w:r w:rsidRPr="00335348">
              <w:t>/</w:t>
            </w:r>
            <w:proofErr w:type="spellStart"/>
            <w:r w:rsidRPr="00335348">
              <w:t>μl</w:t>
            </w:r>
            <w:proofErr w:type="spellEnd"/>
          </w:p>
        </w:tc>
        <w:tc>
          <w:tcPr>
            <w:tcW w:w="2974" w:type="dxa"/>
            <w:shd w:val="clear" w:color="auto" w:fill="auto"/>
          </w:tcPr>
          <w:p w14:paraId="1E2CDBEB" w14:textId="77777777" w:rsidR="00880B33" w:rsidRPr="00221E4B" w:rsidRDefault="00880B33" w:rsidP="00E961C7">
            <w:pPr>
              <w:jc w:val="center"/>
            </w:pPr>
            <w:r w:rsidRPr="00221E4B">
              <w:t>175(140</w:t>
            </w:r>
            <w:r>
              <w:t>-</w:t>
            </w:r>
            <w:r w:rsidRPr="00221E4B">
              <w:t>226)</w:t>
            </w:r>
          </w:p>
        </w:tc>
        <w:tc>
          <w:tcPr>
            <w:tcW w:w="2975" w:type="dxa"/>
            <w:shd w:val="clear" w:color="auto" w:fill="auto"/>
          </w:tcPr>
          <w:p w14:paraId="39FD7AF9" w14:textId="77777777" w:rsidR="00880B33" w:rsidRPr="00221E4B" w:rsidRDefault="00880B33" w:rsidP="00E961C7">
            <w:pPr>
              <w:tabs>
                <w:tab w:val="right" w:pos="1858"/>
              </w:tabs>
              <w:jc w:val="center"/>
            </w:pPr>
            <w:r w:rsidRPr="00221E4B">
              <w:t>196(148</w:t>
            </w:r>
            <w:r>
              <w:t>-</w:t>
            </w:r>
            <w:r w:rsidRPr="00221E4B">
              <w:t>225)</w:t>
            </w:r>
          </w:p>
        </w:tc>
      </w:tr>
      <w:tr w:rsidR="00E961C7" w:rsidRPr="00221E4B" w14:paraId="5AFD0A7F" w14:textId="77777777" w:rsidTr="00E961C7">
        <w:trPr>
          <w:trHeight w:val="363"/>
        </w:trPr>
        <w:tc>
          <w:tcPr>
            <w:tcW w:w="2410" w:type="dxa"/>
            <w:shd w:val="clear" w:color="auto" w:fill="auto"/>
          </w:tcPr>
          <w:p w14:paraId="1CD5A19D" w14:textId="77777777" w:rsidR="00880B33" w:rsidRPr="00221E4B" w:rsidRDefault="00880B33" w:rsidP="00E961C7">
            <w:pPr>
              <w:jc w:val="center"/>
            </w:pPr>
            <w:r w:rsidRPr="00221E4B">
              <w:t>Creatinine</w:t>
            </w:r>
            <w:r>
              <w:t xml:space="preserve">, </w:t>
            </w:r>
            <w:r w:rsidRPr="00221E4B">
              <w:t>mg/dL</w:t>
            </w:r>
          </w:p>
        </w:tc>
        <w:tc>
          <w:tcPr>
            <w:tcW w:w="2974" w:type="dxa"/>
            <w:shd w:val="clear" w:color="auto" w:fill="auto"/>
          </w:tcPr>
          <w:p w14:paraId="4AA5D7E1" w14:textId="77777777" w:rsidR="00880B33" w:rsidRPr="00221E4B" w:rsidRDefault="00880B33" w:rsidP="00E961C7">
            <w:pPr>
              <w:jc w:val="center"/>
            </w:pPr>
            <w:r w:rsidRPr="00221E4B">
              <w:t>1.0(0.9</w:t>
            </w:r>
            <w:r>
              <w:t>-</w:t>
            </w:r>
            <w:r w:rsidRPr="00221E4B">
              <w:t>1.3)</w:t>
            </w:r>
          </w:p>
        </w:tc>
        <w:tc>
          <w:tcPr>
            <w:tcW w:w="2975" w:type="dxa"/>
            <w:shd w:val="clear" w:color="auto" w:fill="auto"/>
          </w:tcPr>
          <w:p w14:paraId="5757B664" w14:textId="77777777" w:rsidR="00880B33" w:rsidRPr="00221E4B" w:rsidRDefault="00880B33" w:rsidP="00E961C7">
            <w:pPr>
              <w:jc w:val="center"/>
            </w:pPr>
            <w:r w:rsidRPr="00221E4B">
              <w:t>1.1(0.9</w:t>
            </w:r>
            <w:r>
              <w:t>-</w:t>
            </w:r>
            <w:r w:rsidRPr="00221E4B">
              <w:t>1.2)</w:t>
            </w:r>
          </w:p>
        </w:tc>
      </w:tr>
      <w:tr w:rsidR="00E961C7" w:rsidRPr="00221E4B" w14:paraId="092FA6C5" w14:textId="77777777" w:rsidTr="00E961C7">
        <w:tc>
          <w:tcPr>
            <w:tcW w:w="2410" w:type="dxa"/>
            <w:shd w:val="clear" w:color="auto" w:fill="auto"/>
          </w:tcPr>
          <w:p w14:paraId="388880C1" w14:textId="77777777" w:rsidR="00880B33" w:rsidRPr="00221E4B" w:rsidRDefault="00880B33" w:rsidP="00E961C7">
            <w:pPr>
              <w:jc w:val="center"/>
            </w:pPr>
            <w:r>
              <w:t>HCV-</w:t>
            </w:r>
            <w:r w:rsidRPr="00221E4B">
              <w:t>RNA</w:t>
            </w:r>
            <w:r>
              <w:t xml:space="preserve">, </w:t>
            </w:r>
            <w:r w:rsidRPr="00221E4B">
              <w:t>IU/mL</w:t>
            </w:r>
          </w:p>
        </w:tc>
        <w:tc>
          <w:tcPr>
            <w:tcW w:w="2974" w:type="dxa"/>
            <w:shd w:val="clear" w:color="auto" w:fill="auto"/>
          </w:tcPr>
          <w:p w14:paraId="67C0450D" w14:textId="77777777" w:rsidR="00880B33" w:rsidRPr="00221E4B" w:rsidRDefault="00880B33" w:rsidP="00E961C7">
            <w:pPr>
              <w:jc w:val="center"/>
            </w:pPr>
            <w:r w:rsidRPr="00221E4B">
              <w:t>1904858(392420</w:t>
            </w:r>
            <w:r>
              <w:t>-</w:t>
            </w:r>
            <w:r w:rsidRPr="00221E4B">
              <w:t>5670998)</w:t>
            </w:r>
          </w:p>
        </w:tc>
        <w:tc>
          <w:tcPr>
            <w:tcW w:w="2975" w:type="dxa"/>
            <w:shd w:val="clear" w:color="auto" w:fill="auto"/>
          </w:tcPr>
          <w:p w14:paraId="5625F4DD" w14:textId="77777777" w:rsidR="00880B33" w:rsidRPr="00221E4B" w:rsidRDefault="00880B33" w:rsidP="00E961C7">
            <w:pPr>
              <w:jc w:val="center"/>
            </w:pPr>
            <w:r w:rsidRPr="00221E4B">
              <w:t>2007626(97150</w:t>
            </w:r>
            <w:r>
              <w:t>-</w:t>
            </w:r>
            <w:r w:rsidRPr="00221E4B">
              <w:t>6260222)</w:t>
            </w:r>
          </w:p>
        </w:tc>
      </w:tr>
      <w:tr w:rsidR="00E961C7" w:rsidRPr="00221E4B" w14:paraId="093B1B60" w14:textId="77777777" w:rsidTr="00E961C7">
        <w:trPr>
          <w:trHeight w:val="363"/>
        </w:trPr>
        <w:tc>
          <w:tcPr>
            <w:tcW w:w="2410" w:type="dxa"/>
            <w:shd w:val="clear" w:color="auto" w:fill="auto"/>
          </w:tcPr>
          <w:p w14:paraId="041D76F0" w14:textId="77777777" w:rsidR="00880B33" w:rsidRPr="00221E4B" w:rsidRDefault="00880B33" w:rsidP="00E961C7">
            <w:pPr>
              <w:jc w:val="center"/>
            </w:pPr>
            <w:r w:rsidRPr="00221E4B">
              <w:t>Genotype</w:t>
            </w:r>
            <w:r>
              <w:t xml:space="preserve">, </w:t>
            </w:r>
            <w:r w:rsidRPr="00E961C7">
              <w:rPr>
                <w:i/>
                <w:iCs/>
              </w:rPr>
              <w:t xml:space="preserve">n </w:t>
            </w:r>
            <w:r w:rsidRPr="00221E4B">
              <w:t>(%)</w:t>
            </w:r>
          </w:p>
        </w:tc>
        <w:tc>
          <w:tcPr>
            <w:tcW w:w="2974" w:type="dxa"/>
            <w:shd w:val="clear" w:color="auto" w:fill="auto"/>
          </w:tcPr>
          <w:p w14:paraId="79687E78" w14:textId="77777777" w:rsidR="00880B33" w:rsidRPr="00221E4B" w:rsidRDefault="00880B33" w:rsidP="00E961C7">
            <w:pPr>
              <w:jc w:val="center"/>
            </w:pPr>
          </w:p>
        </w:tc>
        <w:tc>
          <w:tcPr>
            <w:tcW w:w="2975" w:type="dxa"/>
            <w:shd w:val="clear" w:color="auto" w:fill="auto"/>
          </w:tcPr>
          <w:p w14:paraId="38C8C505" w14:textId="77777777" w:rsidR="00880B33" w:rsidRPr="00221E4B" w:rsidRDefault="00880B33" w:rsidP="00E961C7">
            <w:pPr>
              <w:jc w:val="center"/>
            </w:pPr>
          </w:p>
        </w:tc>
      </w:tr>
      <w:tr w:rsidR="00E961C7" w:rsidRPr="00221E4B" w14:paraId="18A01A95" w14:textId="77777777" w:rsidTr="00E961C7">
        <w:trPr>
          <w:trHeight w:val="363"/>
        </w:trPr>
        <w:tc>
          <w:tcPr>
            <w:tcW w:w="2410" w:type="dxa"/>
            <w:shd w:val="clear" w:color="auto" w:fill="auto"/>
          </w:tcPr>
          <w:p w14:paraId="3B95DB16" w14:textId="77777777" w:rsidR="00880B33" w:rsidRPr="00221E4B" w:rsidRDefault="00880B33" w:rsidP="00E961C7">
            <w:pPr>
              <w:jc w:val="center"/>
            </w:pPr>
            <w:r w:rsidRPr="00221E4B">
              <w:t>1</w:t>
            </w:r>
          </w:p>
        </w:tc>
        <w:tc>
          <w:tcPr>
            <w:tcW w:w="2974" w:type="dxa"/>
            <w:shd w:val="clear" w:color="auto" w:fill="auto"/>
          </w:tcPr>
          <w:p w14:paraId="7F02B115" w14:textId="77777777" w:rsidR="00880B33" w:rsidRPr="00221E4B" w:rsidRDefault="00880B33" w:rsidP="00E961C7">
            <w:pPr>
              <w:jc w:val="center"/>
            </w:pPr>
            <w:r w:rsidRPr="00221E4B">
              <w:t>132(61.7)</w:t>
            </w:r>
          </w:p>
        </w:tc>
        <w:tc>
          <w:tcPr>
            <w:tcW w:w="2975" w:type="dxa"/>
            <w:shd w:val="clear" w:color="auto" w:fill="auto"/>
          </w:tcPr>
          <w:p w14:paraId="25506785" w14:textId="77777777" w:rsidR="00880B33" w:rsidRPr="00221E4B" w:rsidRDefault="00880B33" w:rsidP="00E961C7">
            <w:pPr>
              <w:jc w:val="center"/>
            </w:pPr>
            <w:r w:rsidRPr="00221E4B">
              <w:t>38(45.8)</w:t>
            </w:r>
          </w:p>
        </w:tc>
      </w:tr>
      <w:tr w:rsidR="00E961C7" w:rsidRPr="00221E4B" w14:paraId="6A9F3952" w14:textId="77777777" w:rsidTr="00E961C7">
        <w:trPr>
          <w:trHeight w:val="363"/>
        </w:trPr>
        <w:tc>
          <w:tcPr>
            <w:tcW w:w="2410" w:type="dxa"/>
            <w:shd w:val="clear" w:color="auto" w:fill="auto"/>
          </w:tcPr>
          <w:p w14:paraId="5128819F" w14:textId="77777777" w:rsidR="00880B33" w:rsidRPr="00221E4B" w:rsidRDefault="00880B33" w:rsidP="00E961C7">
            <w:pPr>
              <w:jc w:val="center"/>
            </w:pPr>
            <w:r w:rsidRPr="00221E4B">
              <w:t>2</w:t>
            </w:r>
          </w:p>
        </w:tc>
        <w:tc>
          <w:tcPr>
            <w:tcW w:w="2974" w:type="dxa"/>
            <w:shd w:val="clear" w:color="auto" w:fill="auto"/>
          </w:tcPr>
          <w:p w14:paraId="1A019325" w14:textId="77777777" w:rsidR="00880B33" w:rsidRPr="00221E4B" w:rsidRDefault="00880B33" w:rsidP="00E961C7">
            <w:pPr>
              <w:jc w:val="center"/>
            </w:pPr>
            <w:r w:rsidRPr="00221E4B">
              <w:t>65(30.4)</w:t>
            </w:r>
          </w:p>
        </w:tc>
        <w:tc>
          <w:tcPr>
            <w:tcW w:w="2975" w:type="dxa"/>
            <w:shd w:val="clear" w:color="auto" w:fill="auto"/>
          </w:tcPr>
          <w:p w14:paraId="4976B8E0" w14:textId="77777777" w:rsidR="00880B33" w:rsidRPr="00221E4B" w:rsidRDefault="00880B33" w:rsidP="00E961C7">
            <w:pPr>
              <w:jc w:val="center"/>
            </w:pPr>
            <w:r w:rsidRPr="00221E4B">
              <w:t>34(41)</w:t>
            </w:r>
          </w:p>
        </w:tc>
      </w:tr>
      <w:tr w:rsidR="00E961C7" w:rsidRPr="00221E4B" w14:paraId="7FD922D6" w14:textId="77777777" w:rsidTr="00E961C7">
        <w:trPr>
          <w:trHeight w:val="363"/>
        </w:trPr>
        <w:tc>
          <w:tcPr>
            <w:tcW w:w="2410" w:type="dxa"/>
            <w:shd w:val="clear" w:color="auto" w:fill="auto"/>
          </w:tcPr>
          <w:p w14:paraId="7966F7B8" w14:textId="77777777" w:rsidR="00880B33" w:rsidRPr="00221E4B" w:rsidRDefault="00880B33" w:rsidP="00E961C7">
            <w:pPr>
              <w:jc w:val="center"/>
            </w:pPr>
            <w:r w:rsidRPr="00221E4B">
              <w:t>3</w:t>
            </w:r>
          </w:p>
        </w:tc>
        <w:tc>
          <w:tcPr>
            <w:tcW w:w="2974" w:type="dxa"/>
            <w:shd w:val="clear" w:color="auto" w:fill="auto"/>
          </w:tcPr>
          <w:p w14:paraId="7E3A547D" w14:textId="77777777" w:rsidR="00880B33" w:rsidRPr="00221E4B" w:rsidRDefault="00880B33" w:rsidP="00E961C7">
            <w:pPr>
              <w:jc w:val="center"/>
            </w:pPr>
            <w:r w:rsidRPr="00221E4B">
              <w:t>1(0.5)</w:t>
            </w:r>
          </w:p>
        </w:tc>
        <w:tc>
          <w:tcPr>
            <w:tcW w:w="2975" w:type="dxa"/>
            <w:shd w:val="clear" w:color="auto" w:fill="auto"/>
          </w:tcPr>
          <w:p w14:paraId="1EC828FD" w14:textId="77777777" w:rsidR="00880B33" w:rsidRPr="00221E4B" w:rsidRDefault="00880B33" w:rsidP="00E961C7">
            <w:pPr>
              <w:jc w:val="center"/>
            </w:pPr>
            <w:r w:rsidRPr="00221E4B">
              <w:t>3(3.6)</w:t>
            </w:r>
          </w:p>
        </w:tc>
      </w:tr>
      <w:tr w:rsidR="00E961C7" w:rsidRPr="00221E4B" w14:paraId="232A0EFA" w14:textId="77777777" w:rsidTr="00E961C7">
        <w:trPr>
          <w:trHeight w:val="363"/>
        </w:trPr>
        <w:tc>
          <w:tcPr>
            <w:tcW w:w="2410" w:type="dxa"/>
            <w:shd w:val="clear" w:color="auto" w:fill="auto"/>
          </w:tcPr>
          <w:p w14:paraId="481A5D09" w14:textId="77777777" w:rsidR="00880B33" w:rsidRPr="00221E4B" w:rsidRDefault="00880B33" w:rsidP="00E961C7">
            <w:pPr>
              <w:jc w:val="center"/>
            </w:pPr>
            <w:r w:rsidRPr="00221E4B">
              <w:t>6</w:t>
            </w:r>
          </w:p>
        </w:tc>
        <w:tc>
          <w:tcPr>
            <w:tcW w:w="2974" w:type="dxa"/>
            <w:shd w:val="clear" w:color="auto" w:fill="auto"/>
          </w:tcPr>
          <w:p w14:paraId="366FEE53" w14:textId="77777777" w:rsidR="00880B33" w:rsidRPr="00221E4B" w:rsidRDefault="00880B33" w:rsidP="00E961C7">
            <w:pPr>
              <w:jc w:val="center"/>
            </w:pPr>
            <w:r w:rsidRPr="00221E4B">
              <w:t>16(7.5)</w:t>
            </w:r>
          </w:p>
        </w:tc>
        <w:tc>
          <w:tcPr>
            <w:tcW w:w="2975" w:type="dxa"/>
            <w:shd w:val="clear" w:color="auto" w:fill="auto"/>
          </w:tcPr>
          <w:p w14:paraId="7F16A7A3" w14:textId="77777777" w:rsidR="00880B33" w:rsidRPr="00221E4B" w:rsidRDefault="00880B33" w:rsidP="00E961C7">
            <w:pPr>
              <w:jc w:val="center"/>
            </w:pPr>
            <w:r w:rsidRPr="00221E4B">
              <w:t>8(9.6)</w:t>
            </w:r>
          </w:p>
        </w:tc>
      </w:tr>
      <w:tr w:rsidR="00E961C7" w:rsidRPr="00221E4B" w14:paraId="50879AC3" w14:textId="77777777" w:rsidTr="00E961C7">
        <w:trPr>
          <w:trHeight w:val="363"/>
        </w:trPr>
        <w:tc>
          <w:tcPr>
            <w:tcW w:w="2410" w:type="dxa"/>
            <w:shd w:val="clear" w:color="auto" w:fill="auto"/>
          </w:tcPr>
          <w:p w14:paraId="1F8D62EA" w14:textId="77777777" w:rsidR="00880B33" w:rsidRPr="00054A8F" w:rsidRDefault="00880B33" w:rsidP="00E961C7">
            <w:pPr>
              <w:jc w:val="center"/>
            </w:pPr>
            <w:r w:rsidRPr="00054A8F">
              <w:t>Fibrosis 4 score</w:t>
            </w:r>
          </w:p>
        </w:tc>
        <w:tc>
          <w:tcPr>
            <w:tcW w:w="2974" w:type="dxa"/>
            <w:shd w:val="clear" w:color="auto" w:fill="auto"/>
          </w:tcPr>
          <w:p w14:paraId="0E187989" w14:textId="77777777" w:rsidR="00880B33" w:rsidRPr="00221E4B" w:rsidRDefault="00880B33" w:rsidP="00E961C7">
            <w:pPr>
              <w:jc w:val="center"/>
            </w:pPr>
            <w:r w:rsidRPr="00221E4B">
              <w:t>2.7(1.7-4.4)</w:t>
            </w:r>
          </w:p>
        </w:tc>
        <w:tc>
          <w:tcPr>
            <w:tcW w:w="2975" w:type="dxa"/>
            <w:shd w:val="clear" w:color="auto" w:fill="auto"/>
          </w:tcPr>
          <w:p w14:paraId="5BFB3E08" w14:textId="77777777" w:rsidR="00880B33" w:rsidRPr="00221E4B" w:rsidRDefault="00880B33" w:rsidP="00E961C7">
            <w:pPr>
              <w:jc w:val="center"/>
            </w:pPr>
            <w:r w:rsidRPr="00221E4B">
              <w:t>1.7(1.3-2.7)</w:t>
            </w:r>
          </w:p>
        </w:tc>
      </w:tr>
      <w:tr w:rsidR="00E961C7" w:rsidRPr="00221E4B" w14:paraId="4FA7FA30" w14:textId="77777777" w:rsidTr="00E961C7">
        <w:trPr>
          <w:trHeight w:val="363"/>
        </w:trPr>
        <w:tc>
          <w:tcPr>
            <w:tcW w:w="2410" w:type="dxa"/>
            <w:shd w:val="clear" w:color="auto" w:fill="auto"/>
          </w:tcPr>
          <w:p w14:paraId="7D490D38" w14:textId="77777777" w:rsidR="00880B33" w:rsidRPr="00221E4B" w:rsidRDefault="00880B33" w:rsidP="00E961C7">
            <w:pPr>
              <w:jc w:val="center"/>
            </w:pPr>
            <w:r w:rsidRPr="00221E4B">
              <w:t>ANA</w:t>
            </w:r>
            <w:r>
              <w:t>,</w:t>
            </w:r>
            <w:r w:rsidRPr="00E961C7">
              <w:rPr>
                <w:i/>
                <w:iCs/>
              </w:rPr>
              <w:t xml:space="preserve"> n </w:t>
            </w:r>
            <w:r w:rsidRPr="00221E4B">
              <w:t>(%)</w:t>
            </w:r>
          </w:p>
        </w:tc>
        <w:tc>
          <w:tcPr>
            <w:tcW w:w="2974" w:type="dxa"/>
            <w:shd w:val="clear" w:color="auto" w:fill="auto"/>
          </w:tcPr>
          <w:p w14:paraId="768D0A23" w14:textId="77777777" w:rsidR="00880B33" w:rsidRPr="00221E4B" w:rsidRDefault="00880B33" w:rsidP="00E961C7">
            <w:pPr>
              <w:jc w:val="center"/>
            </w:pPr>
          </w:p>
        </w:tc>
        <w:tc>
          <w:tcPr>
            <w:tcW w:w="2975" w:type="dxa"/>
            <w:shd w:val="clear" w:color="auto" w:fill="auto"/>
          </w:tcPr>
          <w:p w14:paraId="1BCAD707" w14:textId="77777777" w:rsidR="00880B33" w:rsidRPr="00221E4B" w:rsidRDefault="00880B33" w:rsidP="00E961C7">
            <w:pPr>
              <w:jc w:val="center"/>
            </w:pPr>
          </w:p>
        </w:tc>
      </w:tr>
      <w:tr w:rsidR="00E961C7" w:rsidRPr="00221E4B" w14:paraId="51FDFA27" w14:textId="77777777" w:rsidTr="00E961C7">
        <w:trPr>
          <w:trHeight w:val="363"/>
        </w:trPr>
        <w:tc>
          <w:tcPr>
            <w:tcW w:w="2410" w:type="dxa"/>
            <w:shd w:val="clear" w:color="auto" w:fill="auto"/>
          </w:tcPr>
          <w:p w14:paraId="7A35EAAF" w14:textId="77777777" w:rsidR="00880B33" w:rsidRPr="00221E4B" w:rsidRDefault="00880B33" w:rsidP="00E961C7">
            <w:pPr>
              <w:jc w:val="center"/>
            </w:pPr>
            <w:r w:rsidRPr="00221E4B">
              <w:t>&lt;1:40</w:t>
            </w:r>
          </w:p>
        </w:tc>
        <w:tc>
          <w:tcPr>
            <w:tcW w:w="2974" w:type="dxa"/>
            <w:shd w:val="clear" w:color="auto" w:fill="auto"/>
          </w:tcPr>
          <w:p w14:paraId="01794752" w14:textId="77777777" w:rsidR="00880B33" w:rsidRPr="00221E4B" w:rsidRDefault="00880B33" w:rsidP="00E961C7">
            <w:pPr>
              <w:jc w:val="center"/>
            </w:pPr>
            <w:r w:rsidRPr="00221E4B">
              <w:t>194(90.7)</w:t>
            </w:r>
          </w:p>
        </w:tc>
        <w:tc>
          <w:tcPr>
            <w:tcW w:w="2975" w:type="dxa"/>
            <w:shd w:val="clear" w:color="auto" w:fill="auto"/>
          </w:tcPr>
          <w:p w14:paraId="24B1BF20" w14:textId="77777777" w:rsidR="00880B33" w:rsidRPr="00221E4B" w:rsidRDefault="00880B33" w:rsidP="00E961C7">
            <w:pPr>
              <w:jc w:val="center"/>
            </w:pPr>
            <w:r w:rsidRPr="00221E4B">
              <w:t>82(98.8)</w:t>
            </w:r>
          </w:p>
        </w:tc>
      </w:tr>
      <w:tr w:rsidR="00E961C7" w:rsidRPr="00221E4B" w14:paraId="37E5B571" w14:textId="77777777" w:rsidTr="00E961C7">
        <w:trPr>
          <w:trHeight w:val="363"/>
        </w:trPr>
        <w:tc>
          <w:tcPr>
            <w:tcW w:w="2410" w:type="dxa"/>
            <w:shd w:val="clear" w:color="auto" w:fill="auto"/>
          </w:tcPr>
          <w:p w14:paraId="1772931C" w14:textId="77777777" w:rsidR="00880B33" w:rsidRPr="00221E4B" w:rsidRDefault="00880B33" w:rsidP="00E961C7">
            <w:pPr>
              <w:jc w:val="center"/>
            </w:pPr>
            <w:r w:rsidRPr="00221E4B">
              <w:t>1:40-1:80</w:t>
            </w:r>
          </w:p>
        </w:tc>
        <w:tc>
          <w:tcPr>
            <w:tcW w:w="2974" w:type="dxa"/>
            <w:shd w:val="clear" w:color="auto" w:fill="auto"/>
          </w:tcPr>
          <w:p w14:paraId="21824861" w14:textId="77777777" w:rsidR="00880B33" w:rsidRPr="00221E4B" w:rsidRDefault="00880B33" w:rsidP="00E961C7">
            <w:pPr>
              <w:jc w:val="center"/>
            </w:pPr>
            <w:r w:rsidRPr="00221E4B">
              <w:t>12(5.6)</w:t>
            </w:r>
          </w:p>
        </w:tc>
        <w:tc>
          <w:tcPr>
            <w:tcW w:w="2975" w:type="dxa"/>
            <w:shd w:val="clear" w:color="auto" w:fill="auto"/>
          </w:tcPr>
          <w:p w14:paraId="1E1F755A" w14:textId="77777777" w:rsidR="00880B33" w:rsidRPr="00221E4B" w:rsidRDefault="00880B33" w:rsidP="00E961C7">
            <w:pPr>
              <w:jc w:val="center"/>
            </w:pPr>
            <w:r w:rsidRPr="00221E4B">
              <w:t>1(1.2)</w:t>
            </w:r>
          </w:p>
        </w:tc>
      </w:tr>
      <w:tr w:rsidR="00E961C7" w:rsidRPr="00221E4B" w14:paraId="0272B2A9" w14:textId="77777777" w:rsidTr="00E961C7">
        <w:trPr>
          <w:trHeight w:val="363"/>
        </w:trPr>
        <w:tc>
          <w:tcPr>
            <w:tcW w:w="2410" w:type="dxa"/>
            <w:tcBorders>
              <w:bottom w:val="single" w:sz="12" w:space="0" w:color="auto"/>
            </w:tcBorders>
            <w:shd w:val="clear" w:color="auto" w:fill="auto"/>
          </w:tcPr>
          <w:p w14:paraId="026E8F4A" w14:textId="77777777" w:rsidR="00880B33" w:rsidRPr="00221E4B" w:rsidRDefault="00880B33" w:rsidP="00E961C7">
            <w:pPr>
              <w:jc w:val="center"/>
            </w:pPr>
            <w:r w:rsidRPr="00221E4B">
              <w:t>1:160-1:640</w:t>
            </w:r>
          </w:p>
        </w:tc>
        <w:tc>
          <w:tcPr>
            <w:tcW w:w="2974" w:type="dxa"/>
            <w:tcBorders>
              <w:bottom w:val="single" w:sz="12" w:space="0" w:color="auto"/>
            </w:tcBorders>
            <w:shd w:val="clear" w:color="auto" w:fill="auto"/>
          </w:tcPr>
          <w:p w14:paraId="667BB830" w14:textId="77777777" w:rsidR="00880B33" w:rsidRPr="00221E4B" w:rsidRDefault="00880B33" w:rsidP="00E961C7">
            <w:pPr>
              <w:jc w:val="center"/>
            </w:pPr>
            <w:r w:rsidRPr="00221E4B">
              <w:t>8(3.7)</w:t>
            </w:r>
          </w:p>
        </w:tc>
        <w:tc>
          <w:tcPr>
            <w:tcW w:w="2975" w:type="dxa"/>
            <w:tcBorders>
              <w:bottom w:val="single" w:sz="12" w:space="0" w:color="auto"/>
            </w:tcBorders>
            <w:shd w:val="clear" w:color="auto" w:fill="auto"/>
          </w:tcPr>
          <w:p w14:paraId="3355ED05" w14:textId="77777777" w:rsidR="00880B33" w:rsidRPr="00221E4B" w:rsidRDefault="00880B33" w:rsidP="00E961C7">
            <w:pPr>
              <w:jc w:val="center"/>
            </w:pPr>
            <w:r w:rsidRPr="00221E4B">
              <w:t>0</w:t>
            </w:r>
          </w:p>
        </w:tc>
      </w:tr>
    </w:tbl>
    <w:p w14:paraId="053CA8B5" w14:textId="77777777" w:rsidR="00880B33" w:rsidRPr="00116D24" w:rsidRDefault="00880B33" w:rsidP="00880B33">
      <w:bookmarkStart w:id="1" w:name="_Hlk72269576"/>
      <w:r w:rsidRPr="006900BC">
        <w:t>CHC</w:t>
      </w:r>
      <w:r>
        <w:t>, c</w:t>
      </w:r>
      <w:r w:rsidRPr="006900BC">
        <w:t>hronic hepatitis C</w:t>
      </w:r>
      <w:r>
        <w:t>;</w:t>
      </w:r>
      <w:bookmarkEnd w:id="1"/>
      <w:r>
        <w:t xml:space="preserve"> </w:t>
      </w:r>
      <w:r w:rsidRPr="00221E4B">
        <w:t>DAA, direct-acting antiviral agents</w:t>
      </w:r>
      <w:r w:rsidRPr="00196B3C">
        <w:t xml:space="preserve">; IFN, </w:t>
      </w:r>
      <w:r>
        <w:t>i</w:t>
      </w:r>
      <w:r w:rsidRPr="00196B3C">
        <w:t>nterferon</w:t>
      </w:r>
      <w:r>
        <w:t xml:space="preserve">; </w:t>
      </w:r>
      <w:r w:rsidRPr="00221E4B">
        <w:t>AST, aspartate aminotransferase; ALT, alanine aminotransferase; ANA, antinuclear antibody</w:t>
      </w:r>
    </w:p>
    <w:p w14:paraId="4B71D234" w14:textId="77777777" w:rsidR="00880B33" w:rsidRDefault="00880B33" w:rsidP="00823DAC">
      <w:pPr>
        <w:spacing w:line="480" w:lineRule="auto"/>
        <w:ind w:left="720" w:hanging="720"/>
        <w:rPr>
          <w:noProof/>
          <w:szCs w:val="22"/>
        </w:rPr>
        <w:sectPr w:rsidR="00880B33" w:rsidSect="001C3C81">
          <w:pgSz w:w="11906" w:h="16838"/>
          <w:pgMar w:top="1440" w:right="1800" w:bottom="1440" w:left="1800" w:header="851" w:footer="992" w:gutter="0"/>
          <w:cols w:space="425"/>
          <w:docGrid w:type="lines" w:linePitch="360"/>
        </w:sectPr>
      </w:pPr>
    </w:p>
    <w:p w14:paraId="3318BAC6" w14:textId="756DF0DB" w:rsidR="00880B33" w:rsidRPr="00880B33" w:rsidRDefault="00880B33" w:rsidP="00880B33">
      <w:pPr>
        <w:spacing w:line="480" w:lineRule="auto"/>
        <w:ind w:left="720" w:hanging="720"/>
        <w:rPr>
          <w:noProof/>
          <w:szCs w:val="22"/>
        </w:rPr>
      </w:pPr>
      <w:r w:rsidRPr="00880B33">
        <w:rPr>
          <w:rFonts w:hint="eastAsia"/>
          <w:b/>
          <w:bCs/>
          <w:noProof/>
          <w:szCs w:val="22"/>
        </w:rPr>
        <w:lastRenderedPageBreak/>
        <w:t>T</w:t>
      </w:r>
      <w:r w:rsidRPr="00880B33">
        <w:rPr>
          <w:b/>
          <w:bCs/>
          <w:noProof/>
          <w:szCs w:val="22"/>
        </w:rPr>
        <w:t>able 2.</w:t>
      </w:r>
      <w:r>
        <w:rPr>
          <w:noProof/>
          <w:szCs w:val="22"/>
        </w:rPr>
        <w:t xml:space="preserve"> </w:t>
      </w:r>
      <w:r w:rsidRPr="00880B33">
        <w:rPr>
          <w:szCs w:val="22"/>
        </w:rPr>
        <w:t>The positivity and values of RF</w:t>
      </w:r>
      <w:bookmarkStart w:id="2" w:name="_Hlk72449619"/>
      <w:r w:rsidRPr="00880B33">
        <w:rPr>
          <w:szCs w:val="22"/>
        </w:rPr>
        <w:t xml:space="preserve"> in patients with CHC at baseline and SVR</w:t>
      </w:r>
    </w:p>
    <w:tbl>
      <w:tblPr>
        <w:tblW w:w="0" w:type="auto"/>
        <w:tblLayout w:type="fixed"/>
        <w:tblLook w:val="04A0" w:firstRow="1" w:lastRow="0" w:firstColumn="1" w:lastColumn="0" w:noHBand="0" w:noVBand="1"/>
      </w:tblPr>
      <w:tblGrid>
        <w:gridCol w:w="1185"/>
        <w:gridCol w:w="1362"/>
        <w:gridCol w:w="1276"/>
        <w:gridCol w:w="917"/>
        <w:gridCol w:w="1351"/>
        <w:gridCol w:w="1275"/>
        <w:gridCol w:w="930"/>
      </w:tblGrid>
      <w:tr w:rsidR="00E961C7" w:rsidRPr="00880B33" w14:paraId="25075DA3" w14:textId="77777777" w:rsidTr="00E961C7">
        <w:tc>
          <w:tcPr>
            <w:tcW w:w="1185" w:type="dxa"/>
            <w:tcBorders>
              <w:top w:val="single" w:sz="12" w:space="0" w:color="auto"/>
              <w:bottom w:val="single" w:sz="4" w:space="0" w:color="auto"/>
            </w:tcBorders>
            <w:shd w:val="clear" w:color="auto" w:fill="auto"/>
            <w:hideMark/>
          </w:tcPr>
          <w:bookmarkEnd w:id="2"/>
          <w:p w14:paraId="56C20735" w14:textId="77777777" w:rsidR="00880B33" w:rsidRPr="00880B33" w:rsidRDefault="00880B33" w:rsidP="00E961C7">
            <w:pPr>
              <w:jc w:val="center"/>
              <w:rPr>
                <w:rFonts w:ascii="Calibri" w:eastAsia="Times New Roman" w:hAnsi="Calibri"/>
                <w:sz w:val="20"/>
                <w:szCs w:val="20"/>
              </w:rPr>
            </w:pPr>
            <w:r w:rsidRPr="00880B33">
              <w:rPr>
                <w:rFonts w:ascii="Calibri" w:eastAsia="Times New Roman" w:hAnsi="Calibri"/>
                <w:sz w:val="20"/>
                <w:szCs w:val="20"/>
              </w:rPr>
              <w:t>RF</w:t>
            </w:r>
          </w:p>
        </w:tc>
        <w:tc>
          <w:tcPr>
            <w:tcW w:w="3555" w:type="dxa"/>
            <w:gridSpan w:val="3"/>
            <w:tcBorders>
              <w:top w:val="single" w:sz="12" w:space="0" w:color="auto"/>
              <w:bottom w:val="single" w:sz="4" w:space="0" w:color="auto"/>
            </w:tcBorders>
            <w:shd w:val="clear" w:color="auto" w:fill="auto"/>
            <w:hideMark/>
          </w:tcPr>
          <w:p w14:paraId="6C9B6ED1" w14:textId="77777777" w:rsidR="00880B33" w:rsidRPr="00880B33" w:rsidRDefault="00880B33" w:rsidP="00E961C7">
            <w:pPr>
              <w:jc w:val="center"/>
              <w:rPr>
                <w:rFonts w:ascii="Calibri" w:eastAsia="Times New Roman" w:hAnsi="Calibri"/>
                <w:sz w:val="20"/>
                <w:szCs w:val="20"/>
              </w:rPr>
            </w:pPr>
            <w:r w:rsidRPr="00880B33">
              <w:rPr>
                <w:rFonts w:ascii="Calibri" w:eastAsia="Times New Roman" w:hAnsi="Calibri"/>
                <w:sz w:val="20"/>
                <w:szCs w:val="20"/>
              </w:rPr>
              <w:t>DAA (n=214)</w:t>
            </w:r>
          </w:p>
        </w:tc>
        <w:tc>
          <w:tcPr>
            <w:tcW w:w="3556" w:type="dxa"/>
            <w:gridSpan w:val="3"/>
            <w:tcBorders>
              <w:top w:val="single" w:sz="12" w:space="0" w:color="auto"/>
              <w:bottom w:val="single" w:sz="4" w:space="0" w:color="auto"/>
            </w:tcBorders>
            <w:shd w:val="clear" w:color="auto" w:fill="auto"/>
            <w:hideMark/>
          </w:tcPr>
          <w:p w14:paraId="21F73DB7" w14:textId="77777777" w:rsidR="00880B33" w:rsidRPr="00880B33" w:rsidRDefault="00880B33" w:rsidP="00E961C7">
            <w:pPr>
              <w:jc w:val="center"/>
              <w:rPr>
                <w:rFonts w:ascii="Calibri" w:eastAsia="Times New Roman" w:hAnsi="Calibri"/>
                <w:sz w:val="20"/>
                <w:szCs w:val="20"/>
              </w:rPr>
            </w:pPr>
            <w:r w:rsidRPr="00880B33">
              <w:rPr>
                <w:rFonts w:ascii="Calibri" w:eastAsia="Times New Roman" w:hAnsi="Calibri"/>
                <w:sz w:val="20"/>
                <w:szCs w:val="20"/>
              </w:rPr>
              <w:t>IFN (n=83)</w:t>
            </w:r>
          </w:p>
        </w:tc>
      </w:tr>
      <w:tr w:rsidR="00E961C7" w:rsidRPr="00880B33" w14:paraId="2EF75615" w14:textId="77777777" w:rsidTr="00E961C7">
        <w:tc>
          <w:tcPr>
            <w:tcW w:w="1185" w:type="dxa"/>
            <w:tcBorders>
              <w:top w:val="single" w:sz="4" w:space="0" w:color="auto"/>
            </w:tcBorders>
            <w:shd w:val="clear" w:color="auto" w:fill="auto"/>
          </w:tcPr>
          <w:p w14:paraId="26A00CFC" w14:textId="77777777" w:rsidR="00880B33" w:rsidRPr="00880B33" w:rsidRDefault="00880B33" w:rsidP="00E961C7">
            <w:pPr>
              <w:jc w:val="center"/>
              <w:rPr>
                <w:rFonts w:ascii="Calibri" w:eastAsia="Times New Roman" w:hAnsi="Calibri"/>
                <w:sz w:val="20"/>
                <w:szCs w:val="20"/>
              </w:rPr>
            </w:pPr>
          </w:p>
        </w:tc>
        <w:tc>
          <w:tcPr>
            <w:tcW w:w="1362" w:type="dxa"/>
            <w:tcBorders>
              <w:top w:val="single" w:sz="4" w:space="0" w:color="auto"/>
            </w:tcBorders>
            <w:shd w:val="clear" w:color="auto" w:fill="auto"/>
            <w:hideMark/>
          </w:tcPr>
          <w:p w14:paraId="651EE00F" w14:textId="77777777" w:rsidR="00880B33" w:rsidRPr="00880B33" w:rsidRDefault="00880B33" w:rsidP="00E961C7">
            <w:pPr>
              <w:jc w:val="center"/>
              <w:rPr>
                <w:rFonts w:ascii="Calibri" w:eastAsia="Times New Roman" w:hAnsi="Calibri"/>
                <w:sz w:val="20"/>
                <w:szCs w:val="20"/>
              </w:rPr>
            </w:pPr>
            <w:r w:rsidRPr="00880B33">
              <w:rPr>
                <w:rFonts w:ascii="Calibri" w:eastAsia="Times New Roman" w:hAnsi="Calibri"/>
                <w:sz w:val="20"/>
                <w:szCs w:val="20"/>
              </w:rPr>
              <w:t>Baseline</w:t>
            </w:r>
          </w:p>
        </w:tc>
        <w:tc>
          <w:tcPr>
            <w:tcW w:w="1276" w:type="dxa"/>
            <w:tcBorders>
              <w:top w:val="single" w:sz="4" w:space="0" w:color="auto"/>
            </w:tcBorders>
            <w:shd w:val="clear" w:color="auto" w:fill="auto"/>
            <w:hideMark/>
          </w:tcPr>
          <w:p w14:paraId="6C868859" w14:textId="77777777" w:rsidR="00880B33" w:rsidRPr="00880B33" w:rsidRDefault="00880B33" w:rsidP="00E961C7">
            <w:pPr>
              <w:jc w:val="center"/>
              <w:rPr>
                <w:rFonts w:ascii="Calibri" w:eastAsia="Times New Roman" w:hAnsi="Calibri"/>
                <w:sz w:val="20"/>
                <w:szCs w:val="20"/>
              </w:rPr>
            </w:pPr>
            <w:r w:rsidRPr="00880B33">
              <w:rPr>
                <w:rFonts w:ascii="Calibri" w:eastAsia="Times New Roman" w:hAnsi="Calibri"/>
                <w:sz w:val="20"/>
                <w:szCs w:val="20"/>
              </w:rPr>
              <w:t>SVR</w:t>
            </w:r>
          </w:p>
        </w:tc>
        <w:tc>
          <w:tcPr>
            <w:tcW w:w="917" w:type="dxa"/>
            <w:tcBorders>
              <w:top w:val="single" w:sz="4" w:space="0" w:color="auto"/>
            </w:tcBorders>
            <w:shd w:val="clear" w:color="auto" w:fill="auto"/>
            <w:hideMark/>
          </w:tcPr>
          <w:p w14:paraId="0029A390" w14:textId="77777777" w:rsidR="00880B33" w:rsidRPr="00880B33" w:rsidRDefault="00880B33" w:rsidP="00E961C7">
            <w:pPr>
              <w:jc w:val="center"/>
              <w:rPr>
                <w:rFonts w:ascii="Calibri" w:eastAsia="Times New Roman" w:hAnsi="Calibri"/>
                <w:sz w:val="20"/>
                <w:szCs w:val="20"/>
              </w:rPr>
            </w:pPr>
            <w:r w:rsidRPr="00880B33">
              <w:rPr>
                <w:rFonts w:ascii="Calibri" w:eastAsia="Times New Roman" w:hAnsi="Calibri"/>
                <w:i/>
                <w:iCs/>
                <w:sz w:val="20"/>
                <w:szCs w:val="20"/>
              </w:rPr>
              <w:t>P</w:t>
            </w:r>
            <w:r w:rsidRPr="00880B33">
              <w:rPr>
                <w:rFonts w:ascii="Calibri" w:eastAsia="Times New Roman" w:hAnsi="Calibri"/>
                <w:sz w:val="20"/>
                <w:szCs w:val="20"/>
              </w:rPr>
              <w:t xml:space="preserve"> value</w:t>
            </w:r>
          </w:p>
        </w:tc>
        <w:tc>
          <w:tcPr>
            <w:tcW w:w="1351" w:type="dxa"/>
            <w:tcBorders>
              <w:top w:val="single" w:sz="4" w:space="0" w:color="auto"/>
            </w:tcBorders>
            <w:shd w:val="clear" w:color="auto" w:fill="auto"/>
            <w:hideMark/>
          </w:tcPr>
          <w:p w14:paraId="58748E13" w14:textId="77777777" w:rsidR="00880B33" w:rsidRPr="00880B33" w:rsidRDefault="00880B33" w:rsidP="00E961C7">
            <w:pPr>
              <w:jc w:val="center"/>
              <w:rPr>
                <w:rFonts w:ascii="Calibri" w:eastAsia="Times New Roman" w:hAnsi="Calibri"/>
                <w:sz w:val="20"/>
                <w:szCs w:val="20"/>
              </w:rPr>
            </w:pPr>
            <w:r w:rsidRPr="00880B33">
              <w:rPr>
                <w:rFonts w:ascii="Calibri" w:eastAsia="Times New Roman" w:hAnsi="Calibri"/>
                <w:sz w:val="20"/>
                <w:szCs w:val="20"/>
              </w:rPr>
              <w:t>Baseline</w:t>
            </w:r>
          </w:p>
        </w:tc>
        <w:tc>
          <w:tcPr>
            <w:tcW w:w="1275" w:type="dxa"/>
            <w:tcBorders>
              <w:top w:val="single" w:sz="4" w:space="0" w:color="auto"/>
            </w:tcBorders>
            <w:shd w:val="clear" w:color="auto" w:fill="auto"/>
            <w:hideMark/>
          </w:tcPr>
          <w:p w14:paraId="0A7B42AD" w14:textId="77777777" w:rsidR="00880B33" w:rsidRPr="00880B33" w:rsidRDefault="00880B33" w:rsidP="00E961C7">
            <w:pPr>
              <w:jc w:val="center"/>
              <w:rPr>
                <w:rFonts w:ascii="Calibri" w:eastAsia="Times New Roman" w:hAnsi="Calibri"/>
                <w:sz w:val="20"/>
                <w:szCs w:val="20"/>
              </w:rPr>
            </w:pPr>
            <w:r w:rsidRPr="00880B33">
              <w:rPr>
                <w:rFonts w:ascii="Calibri" w:eastAsia="Times New Roman" w:hAnsi="Calibri"/>
                <w:sz w:val="20"/>
                <w:szCs w:val="20"/>
              </w:rPr>
              <w:t>SVR</w:t>
            </w:r>
          </w:p>
        </w:tc>
        <w:tc>
          <w:tcPr>
            <w:tcW w:w="930" w:type="dxa"/>
            <w:tcBorders>
              <w:top w:val="single" w:sz="4" w:space="0" w:color="auto"/>
            </w:tcBorders>
            <w:shd w:val="clear" w:color="auto" w:fill="auto"/>
            <w:hideMark/>
          </w:tcPr>
          <w:p w14:paraId="35B9AB8F" w14:textId="77777777" w:rsidR="00880B33" w:rsidRPr="00880B33" w:rsidRDefault="00880B33" w:rsidP="00E961C7">
            <w:pPr>
              <w:jc w:val="center"/>
              <w:rPr>
                <w:rFonts w:ascii="Calibri" w:eastAsia="Times New Roman" w:hAnsi="Calibri"/>
                <w:sz w:val="20"/>
                <w:szCs w:val="20"/>
              </w:rPr>
            </w:pPr>
            <w:r w:rsidRPr="00880B33">
              <w:rPr>
                <w:rFonts w:ascii="Calibri" w:eastAsia="Times New Roman" w:hAnsi="Calibri"/>
                <w:i/>
                <w:iCs/>
                <w:sz w:val="20"/>
                <w:szCs w:val="20"/>
              </w:rPr>
              <w:t>P</w:t>
            </w:r>
            <w:r w:rsidRPr="00880B33">
              <w:rPr>
                <w:rFonts w:ascii="Calibri" w:eastAsia="Times New Roman" w:hAnsi="Calibri"/>
                <w:sz w:val="20"/>
                <w:szCs w:val="20"/>
              </w:rPr>
              <w:t xml:space="preserve"> value</w:t>
            </w:r>
          </w:p>
        </w:tc>
      </w:tr>
      <w:tr w:rsidR="00E961C7" w:rsidRPr="00880B33" w14:paraId="364B83EB" w14:textId="77777777" w:rsidTr="00E961C7">
        <w:tc>
          <w:tcPr>
            <w:tcW w:w="1185" w:type="dxa"/>
            <w:shd w:val="clear" w:color="auto" w:fill="auto"/>
            <w:hideMark/>
          </w:tcPr>
          <w:p w14:paraId="61AE21E5" w14:textId="77777777" w:rsidR="00880B33" w:rsidRPr="00880B33" w:rsidRDefault="00880B33" w:rsidP="00E961C7">
            <w:pPr>
              <w:jc w:val="center"/>
              <w:rPr>
                <w:rFonts w:ascii="Calibri" w:eastAsia="Times New Roman" w:hAnsi="Calibri"/>
                <w:sz w:val="20"/>
                <w:szCs w:val="20"/>
              </w:rPr>
            </w:pPr>
            <w:r w:rsidRPr="00880B33">
              <w:rPr>
                <w:rFonts w:ascii="Calibri" w:eastAsia="Times New Roman" w:hAnsi="Calibri"/>
                <w:sz w:val="20"/>
                <w:szCs w:val="20"/>
              </w:rPr>
              <w:t>Positivity#</w:t>
            </w:r>
          </w:p>
        </w:tc>
        <w:tc>
          <w:tcPr>
            <w:tcW w:w="1362" w:type="dxa"/>
            <w:shd w:val="clear" w:color="auto" w:fill="auto"/>
            <w:hideMark/>
          </w:tcPr>
          <w:p w14:paraId="705725DB" w14:textId="77777777" w:rsidR="00880B33" w:rsidRPr="00880B33" w:rsidRDefault="00880B33" w:rsidP="00E961C7">
            <w:pPr>
              <w:jc w:val="center"/>
              <w:rPr>
                <w:rFonts w:ascii="Calibri" w:eastAsia="Times New Roman" w:hAnsi="Calibri"/>
                <w:sz w:val="20"/>
                <w:szCs w:val="20"/>
              </w:rPr>
            </w:pPr>
            <w:r w:rsidRPr="00880B33">
              <w:rPr>
                <w:rFonts w:ascii="Calibri" w:eastAsia="Times New Roman" w:hAnsi="Calibri"/>
                <w:sz w:val="20"/>
                <w:szCs w:val="20"/>
              </w:rPr>
              <w:t>52(24.3%)</w:t>
            </w:r>
          </w:p>
        </w:tc>
        <w:tc>
          <w:tcPr>
            <w:tcW w:w="1276" w:type="dxa"/>
            <w:shd w:val="clear" w:color="auto" w:fill="auto"/>
            <w:hideMark/>
          </w:tcPr>
          <w:p w14:paraId="5A543054" w14:textId="77777777" w:rsidR="00880B33" w:rsidRPr="00880B33" w:rsidRDefault="00880B33" w:rsidP="00E961C7">
            <w:pPr>
              <w:jc w:val="center"/>
              <w:rPr>
                <w:rFonts w:ascii="Calibri" w:eastAsia="Times New Roman" w:hAnsi="Calibri"/>
                <w:sz w:val="20"/>
                <w:szCs w:val="20"/>
              </w:rPr>
            </w:pPr>
            <w:r w:rsidRPr="00880B33">
              <w:rPr>
                <w:rFonts w:ascii="Calibri" w:eastAsia="Times New Roman" w:hAnsi="Calibri"/>
                <w:sz w:val="20"/>
                <w:szCs w:val="20"/>
              </w:rPr>
              <w:t>33(15.4%)</w:t>
            </w:r>
          </w:p>
        </w:tc>
        <w:tc>
          <w:tcPr>
            <w:tcW w:w="917" w:type="dxa"/>
            <w:shd w:val="clear" w:color="auto" w:fill="auto"/>
            <w:hideMark/>
          </w:tcPr>
          <w:p w14:paraId="6ACEE466" w14:textId="77777777" w:rsidR="00880B33" w:rsidRPr="00880B33" w:rsidRDefault="00880B33" w:rsidP="00E961C7">
            <w:pPr>
              <w:jc w:val="center"/>
              <w:rPr>
                <w:rFonts w:ascii="Calibri" w:eastAsia="Times New Roman" w:hAnsi="Calibri"/>
                <w:sz w:val="20"/>
                <w:szCs w:val="20"/>
              </w:rPr>
            </w:pPr>
            <w:r w:rsidRPr="00880B33">
              <w:rPr>
                <w:rFonts w:ascii="Calibri" w:eastAsia="Times New Roman" w:hAnsi="Calibri"/>
                <w:sz w:val="20"/>
                <w:szCs w:val="20"/>
              </w:rPr>
              <w:t>0.001</w:t>
            </w:r>
          </w:p>
        </w:tc>
        <w:tc>
          <w:tcPr>
            <w:tcW w:w="1351" w:type="dxa"/>
            <w:shd w:val="clear" w:color="auto" w:fill="auto"/>
            <w:hideMark/>
          </w:tcPr>
          <w:p w14:paraId="1E1D0DC0" w14:textId="77777777" w:rsidR="00880B33" w:rsidRPr="00880B33" w:rsidRDefault="00880B33" w:rsidP="00E961C7">
            <w:pPr>
              <w:jc w:val="center"/>
              <w:rPr>
                <w:rFonts w:ascii="Calibri" w:eastAsia="Times New Roman" w:hAnsi="Calibri"/>
                <w:sz w:val="20"/>
                <w:szCs w:val="20"/>
              </w:rPr>
            </w:pPr>
            <w:r w:rsidRPr="00880B33">
              <w:rPr>
                <w:rFonts w:ascii="Calibri" w:eastAsia="Times New Roman" w:hAnsi="Calibri"/>
                <w:sz w:val="20"/>
                <w:szCs w:val="20"/>
              </w:rPr>
              <w:t>26(31.3%)</w:t>
            </w:r>
          </w:p>
        </w:tc>
        <w:tc>
          <w:tcPr>
            <w:tcW w:w="1275" w:type="dxa"/>
            <w:shd w:val="clear" w:color="auto" w:fill="auto"/>
            <w:hideMark/>
          </w:tcPr>
          <w:p w14:paraId="5BA5396B" w14:textId="77777777" w:rsidR="00880B33" w:rsidRPr="00880B33" w:rsidRDefault="00880B33" w:rsidP="00E961C7">
            <w:pPr>
              <w:jc w:val="center"/>
              <w:rPr>
                <w:rFonts w:ascii="Calibri" w:eastAsia="Times New Roman" w:hAnsi="Calibri"/>
                <w:sz w:val="20"/>
                <w:szCs w:val="20"/>
              </w:rPr>
            </w:pPr>
            <w:r w:rsidRPr="00880B33">
              <w:rPr>
                <w:rFonts w:ascii="Calibri" w:eastAsia="Times New Roman" w:hAnsi="Calibri"/>
                <w:sz w:val="20"/>
                <w:szCs w:val="20"/>
              </w:rPr>
              <w:t>16(19.3%)</w:t>
            </w:r>
          </w:p>
        </w:tc>
        <w:tc>
          <w:tcPr>
            <w:tcW w:w="930" w:type="dxa"/>
            <w:shd w:val="clear" w:color="auto" w:fill="auto"/>
            <w:hideMark/>
          </w:tcPr>
          <w:p w14:paraId="6C98A053" w14:textId="77777777" w:rsidR="00880B33" w:rsidRPr="00880B33" w:rsidRDefault="00880B33" w:rsidP="00E961C7">
            <w:pPr>
              <w:jc w:val="center"/>
              <w:rPr>
                <w:rFonts w:ascii="Calibri" w:eastAsia="Times New Roman" w:hAnsi="Calibri"/>
                <w:sz w:val="20"/>
                <w:szCs w:val="20"/>
              </w:rPr>
            </w:pPr>
            <w:r w:rsidRPr="00880B33">
              <w:rPr>
                <w:rFonts w:ascii="Calibri" w:eastAsia="Times New Roman" w:hAnsi="Calibri"/>
                <w:sz w:val="20"/>
                <w:szCs w:val="20"/>
              </w:rPr>
              <w:t>0.006</w:t>
            </w:r>
          </w:p>
        </w:tc>
      </w:tr>
      <w:tr w:rsidR="00E961C7" w:rsidRPr="00880B33" w14:paraId="0F71604A" w14:textId="77777777" w:rsidTr="00E961C7">
        <w:tc>
          <w:tcPr>
            <w:tcW w:w="1185" w:type="dxa"/>
            <w:tcBorders>
              <w:bottom w:val="single" w:sz="12" w:space="0" w:color="auto"/>
            </w:tcBorders>
            <w:shd w:val="clear" w:color="auto" w:fill="auto"/>
            <w:hideMark/>
          </w:tcPr>
          <w:p w14:paraId="0A109A47" w14:textId="77777777" w:rsidR="00880B33" w:rsidRPr="00880B33" w:rsidRDefault="00880B33" w:rsidP="00E961C7">
            <w:pPr>
              <w:jc w:val="center"/>
              <w:rPr>
                <w:rFonts w:ascii="Calibri" w:eastAsia="Times New Roman" w:hAnsi="Calibri"/>
                <w:sz w:val="20"/>
                <w:szCs w:val="20"/>
              </w:rPr>
            </w:pPr>
            <w:r w:rsidRPr="00880B33">
              <w:rPr>
                <w:rFonts w:ascii="Calibri" w:eastAsia="Times New Roman" w:hAnsi="Calibri"/>
                <w:sz w:val="20"/>
                <w:szCs w:val="20"/>
              </w:rPr>
              <w:t>Values, IU/mL</w:t>
            </w:r>
          </w:p>
        </w:tc>
        <w:tc>
          <w:tcPr>
            <w:tcW w:w="1362" w:type="dxa"/>
            <w:tcBorders>
              <w:bottom w:val="single" w:sz="12" w:space="0" w:color="auto"/>
            </w:tcBorders>
            <w:shd w:val="clear" w:color="auto" w:fill="auto"/>
            <w:hideMark/>
          </w:tcPr>
          <w:p w14:paraId="39FB4958" w14:textId="77777777" w:rsidR="00880B33" w:rsidRPr="00880B33" w:rsidRDefault="00880B33" w:rsidP="00E961C7">
            <w:pPr>
              <w:jc w:val="center"/>
              <w:rPr>
                <w:rFonts w:ascii="Calibri" w:eastAsia="Times New Roman" w:hAnsi="Calibri"/>
                <w:sz w:val="20"/>
                <w:szCs w:val="20"/>
              </w:rPr>
            </w:pPr>
            <w:r w:rsidRPr="00880B33">
              <w:rPr>
                <w:rFonts w:ascii="Calibri" w:eastAsia="Times New Roman" w:hAnsi="Calibri"/>
                <w:sz w:val="20"/>
                <w:szCs w:val="20"/>
              </w:rPr>
              <w:t>1.4(0.5-13.8)</w:t>
            </w:r>
          </w:p>
        </w:tc>
        <w:tc>
          <w:tcPr>
            <w:tcW w:w="1276" w:type="dxa"/>
            <w:tcBorders>
              <w:bottom w:val="single" w:sz="12" w:space="0" w:color="auto"/>
            </w:tcBorders>
            <w:shd w:val="clear" w:color="auto" w:fill="auto"/>
            <w:hideMark/>
          </w:tcPr>
          <w:p w14:paraId="78398D9B" w14:textId="77777777" w:rsidR="00880B33" w:rsidRPr="00880B33" w:rsidRDefault="00880B33" w:rsidP="00E961C7">
            <w:pPr>
              <w:jc w:val="center"/>
              <w:rPr>
                <w:rFonts w:ascii="Calibri" w:eastAsia="Times New Roman" w:hAnsi="Calibri"/>
                <w:sz w:val="20"/>
                <w:szCs w:val="20"/>
              </w:rPr>
            </w:pPr>
            <w:r w:rsidRPr="00880B33">
              <w:rPr>
                <w:rFonts w:ascii="Calibri" w:eastAsia="Times New Roman" w:hAnsi="Calibri"/>
                <w:sz w:val="20"/>
                <w:szCs w:val="20"/>
              </w:rPr>
              <w:t>0.5(0.5-6.6)</w:t>
            </w:r>
          </w:p>
        </w:tc>
        <w:tc>
          <w:tcPr>
            <w:tcW w:w="917" w:type="dxa"/>
            <w:tcBorders>
              <w:bottom w:val="single" w:sz="12" w:space="0" w:color="auto"/>
            </w:tcBorders>
            <w:shd w:val="clear" w:color="auto" w:fill="auto"/>
            <w:hideMark/>
          </w:tcPr>
          <w:p w14:paraId="52FA6EF1" w14:textId="77777777" w:rsidR="00880B33" w:rsidRPr="00880B33" w:rsidRDefault="00880B33" w:rsidP="00E961C7">
            <w:pPr>
              <w:jc w:val="center"/>
              <w:rPr>
                <w:rFonts w:ascii="Calibri" w:eastAsia="Times New Roman" w:hAnsi="Calibri"/>
                <w:sz w:val="20"/>
                <w:szCs w:val="20"/>
              </w:rPr>
            </w:pPr>
            <w:r w:rsidRPr="00880B33">
              <w:rPr>
                <w:rFonts w:ascii="Calibri" w:eastAsia="Times New Roman" w:hAnsi="Calibri"/>
                <w:sz w:val="20"/>
                <w:szCs w:val="20"/>
              </w:rPr>
              <w:t>&lt;0.001</w:t>
            </w:r>
          </w:p>
        </w:tc>
        <w:tc>
          <w:tcPr>
            <w:tcW w:w="1351" w:type="dxa"/>
            <w:tcBorders>
              <w:bottom w:val="single" w:sz="12" w:space="0" w:color="auto"/>
            </w:tcBorders>
            <w:shd w:val="clear" w:color="auto" w:fill="auto"/>
            <w:hideMark/>
          </w:tcPr>
          <w:p w14:paraId="6C7EE24C" w14:textId="77777777" w:rsidR="00880B33" w:rsidRPr="00880B33" w:rsidRDefault="00880B33" w:rsidP="00E961C7">
            <w:pPr>
              <w:jc w:val="center"/>
              <w:rPr>
                <w:rFonts w:ascii="Calibri" w:eastAsia="Times New Roman" w:hAnsi="Calibri"/>
                <w:sz w:val="20"/>
                <w:szCs w:val="20"/>
              </w:rPr>
            </w:pPr>
            <w:r w:rsidRPr="00880B33">
              <w:rPr>
                <w:rFonts w:ascii="Calibri" w:eastAsia="Times New Roman" w:hAnsi="Calibri"/>
                <w:sz w:val="20"/>
                <w:szCs w:val="20"/>
              </w:rPr>
              <w:t>2.1(0.5-17.7)</w:t>
            </w:r>
          </w:p>
        </w:tc>
        <w:tc>
          <w:tcPr>
            <w:tcW w:w="1275" w:type="dxa"/>
            <w:tcBorders>
              <w:bottom w:val="single" w:sz="12" w:space="0" w:color="auto"/>
            </w:tcBorders>
            <w:shd w:val="clear" w:color="auto" w:fill="auto"/>
            <w:hideMark/>
          </w:tcPr>
          <w:p w14:paraId="5ABC7A24" w14:textId="77777777" w:rsidR="00880B33" w:rsidRPr="00880B33" w:rsidRDefault="00880B33" w:rsidP="00E961C7">
            <w:pPr>
              <w:jc w:val="center"/>
              <w:rPr>
                <w:rFonts w:ascii="Calibri" w:eastAsia="Times New Roman" w:hAnsi="Calibri"/>
                <w:sz w:val="20"/>
                <w:szCs w:val="20"/>
              </w:rPr>
            </w:pPr>
            <w:r w:rsidRPr="00880B33">
              <w:rPr>
                <w:rFonts w:ascii="Calibri" w:eastAsia="Times New Roman" w:hAnsi="Calibri"/>
                <w:sz w:val="20"/>
                <w:szCs w:val="20"/>
              </w:rPr>
              <w:t>0.5(0.5-5.8)</w:t>
            </w:r>
          </w:p>
        </w:tc>
        <w:tc>
          <w:tcPr>
            <w:tcW w:w="930" w:type="dxa"/>
            <w:tcBorders>
              <w:bottom w:val="single" w:sz="12" w:space="0" w:color="auto"/>
            </w:tcBorders>
            <w:shd w:val="clear" w:color="auto" w:fill="auto"/>
            <w:hideMark/>
          </w:tcPr>
          <w:p w14:paraId="0BA68CBA" w14:textId="77777777" w:rsidR="00880B33" w:rsidRPr="00880B33" w:rsidRDefault="00880B33" w:rsidP="00E961C7">
            <w:pPr>
              <w:jc w:val="center"/>
              <w:rPr>
                <w:rFonts w:ascii="Calibri" w:eastAsia="Times New Roman" w:hAnsi="Calibri"/>
                <w:sz w:val="20"/>
                <w:szCs w:val="20"/>
              </w:rPr>
            </w:pPr>
            <w:r w:rsidRPr="00880B33">
              <w:rPr>
                <w:rFonts w:ascii="Calibri" w:eastAsia="Times New Roman" w:hAnsi="Calibri"/>
                <w:sz w:val="20"/>
                <w:szCs w:val="20"/>
              </w:rPr>
              <w:t>&lt;0.001</w:t>
            </w:r>
          </w:p>
        </w:tc>
      </w:tr>
    </w:tbl>
    <w:p w14:paraId="146C490D" w14:textId="138CC7A1" w:rsidR="00880B33" w:rsidRDefault="00880B33" w:rsidP="00880B33">
      <w:pPr>
        <w:rPr>
          <w:szCs w:val="22"/>
        </w:rPr>
      </w:pPr>
      <w:bookmarkStart w:id="3" w:name="_Hlk72454217"/>
      <w:r w:rsidRPr="00880B33">
        <w:rPr>
          <w:rFonts w:hint="eastAsia"/>
          <w:szCs w:val="22"/>
        </w:rPr>
        <w:t>Po</w:t>
      </w:r>
      <w:r w:rsidRPr="00880B33">
        <w:rPr>
          <w:szCs w:val="22"/>
        </w:rPr>
        <w:t>sitivity# was defined as a measurement above 15 IU/</w:t>
      </w:r>
      <w:proofErr w:type="spellStart"/>
      <w:r w:rsidRPr="00880B33">
        <w:rPr>
          <w:szCs w:val="22"/>
        </w:rPr>
        <w:t>mL.</w:t>
      </w:r>
      <w:proofErr w:type="spellEnd"/>
      <w:r>
        <w:rPr>
          <w:rFonts w:hint="eastAsia"/>
          <w:szCs w:val="22"/>
        </w:rPr>
        <w:t xml:space="preserve"> </w:t>
      </w:r>
      <w:r w:rsidRPr="00880B33">
        <w:rPr>
          <w:szCs w:val="22"/>
        </w:rPr>
        <w:t xml:space="preserve">RF, Rheumatoid factor; CHC, chronic hepatitis C; SVR, sustained viral </w:t>
      </w:r>
      <w:proofErr w:type="spellStart"/>
      <w:r w:rsidRPr="00880B33">
        <w:rPr>
          <w:szCs w:val="22"/>
        </w:rPr>
        <w:t>responseDAA</w:t>
      </w:r>
      <w:proofErr w:type="spellEnd"/>
      <w:r w:rsidRPr="00880B33">
        <w:rPr>
          <w:szCs w:val="22"/>
        </w:rPr>
        <w:t>, direct-acting antiviral agents; IFN, interferon</w:t>
      </w:r>
      <w:bookmarkEnd w:id="3"/>
    </w:p>
    <w:p w14:paraId="1AD326FC" w14:textId="3FBFFBD5" w:rsidR="00880B33" w:rsidRDefault="00880B33" w:rsidP="00880B33">
      <w:pPr>
        <w:rPr>
          <w:szCs w:val="22"/>
        </w:rPr>
      </w:pPr>
    </w:p>
    <w:p w14:paraId="1DDD3771" w14:textId="77777777" w:rsidR="00880B33" w:rsidRDefault="00880B33" w:rsidP="00880B33">
      <w:pPr>
        <w:rPr>
          <w:szCs w:val="22"/>
        </w:rPr>
        <w:sectPr w:rsidR="00880B33" w:rsidSect="001C3C81">
          <w:pgSz w:w="11906" w:h="16838"/>
          <w:pgMar w:top="1440" w:right="1800" w:bottom="1440" w:left="1800" w:header="851" w:footer="992" w:gutter="0"/>
          <w:cols w:space="425"/>
          <w:docGrid w:type="lines" w:linePitch="360"/>
        </w:sectPr>
      </w:pPr>
    </w:p>
    <w:p w14:paraId="432CFAA9" w14:textId="0CC438A2" w:rsidR="00880B33" w:rsidRPr="00880B33" w:rsidRDefault="00880B33" w:rsidP="00880B33">
      <w:pPr>
        <w:rPr>
          <w:szCs w:val="22"/>
        </w:rPr>
      </w:pPr>
      <w:r w:rsidRPr="00880B33">
        <w:rPr>
          <w:rFonts w:hint="eastAsia"/>
          <w:b/>
          <w:bCs/>
          <w:szCs w:val="22"/>
        </w:rPr>
        <w:lastRenderedPageBreak/>
        <w:t>F</w:t>
      </w:r>
      <w:r w:rsidRPr="00880B33">
        <w:rPr>
          <w:b/>
          <w:bCs/>
          <w:szCs w:val="22"/>
        </w:rPr>
        <w:t>igure 1.</w:t>
      </w:r>
      <w:r>
        <w:rPr>
          <w:szCs w:val="22"/>
        </w:rPr>
        <w:t xml:space="preserve"> Changes in serum level of rheumatoid factor IgG following eradication of hepatitis C virus infection according to antiviral regimens</w:t>
      </w:r>
    </w:p>
    <w:p w14:paraId="1CB64408" w14:textId="5EBD48E3" w:rsidR="00880B33" w:rsidRDefault="00880B33" w:rsidP="00880B33">
      <w:pPr>
        <w:rPr>
          <w:szCs w:val="22"/>
        </w:rPr>
      </w:pPr>
      <w:r>
        <w:rPr>
          <w:szCs w:val="22"/>
        </w:rPr>
        <w:pict w14:anchorId="55E65B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15pt;height:116pt">
            <v:imagedata r:id="rId8" o:title="Figure 1"/>
          </v:shape>
        </w:pict>
      </w:r>
    </w:p>
    <w:p w14:paraId="1EA2027C" w14:textId="4846169A" w:rsidR="00880B33" w:rsidRDefault="00880B33" w:rsidP="00880B33">
      <w:pPr>
        <w:rPr>
          <w:szCs w:val="22"/>
        </w:rPr>
      </w:pPr>
    </w:p>
    <w:p w14:paraId="43DDFDB1" w14:textId="6233F947" w:rsidR="00880B33" w:rsidRDefault="00880B33" w:rsidP="00880B33">
      <w:pPr>
        <w:rPr>
          <w:szCs w:val="22"/>
        </w:rPr>
      </w:pPr>
      <w:r w:rsidRPr="00880B33">
        <w:rPr>
          <w:rFonts w:hint="eastAsia"/>
          <w:b/>
          <w:bCs/>
          <w:szCs w:val="22"/>
        </w:rPr>
        <w:t>F</w:t>
      </w:r>
      <w:r w:rsidRPr="00880B33">
        <w:rPr>
          <w:b/>
          <w:bCs/>
          <w:szCs w:val="22"/>
        </w:rPr>
        <w:t xml:space="preserve">igure 2. </w:t>
      </w:r>
      <w:r>
        <w:rPr>
          <w:szCs w:val="22"/>
        </w:rPr>
        <w:t xml:space="preserve">No significant differences between the regimens of antiviral therapy in changes </w:t>
      </w:r>
      <w:r w:rsidR="005B7EC5">
        <w:rPr>
          <w:szCs w:val="22"/>
        </w:rPr>
        <w:t>of rheumatoid factor</w:t>
      </w:r>
    </w:p>
    <w:p w14:paraId="512982FB" w14:textId="4092B4C5" w:rsidR="00880B33" w:rsidRPr="00880B33" w:rsidRDefault="00880B33" w:rsidP="00880B33">
      <w:pPr>
        <w:rPr>
          <w:rFonts w:hint="eastAsia"/>
          <w:szCs w:val="22"/>
        </w:rPr>
      </w:pPr>
      <w:r>
        <w:rPr>
          <w:szCs w:val="22"/>
        </w:rPr>
        <w:pict w14:anchorId="572DBE62">
          <v:shape id="_x0000_i1035" type="#_x0000_t75" style="width:363pt;height:294.5pt">
            <v:imagedata r:id="rId9" o:title="Figure 2 (black and white)"/>
          </v:shape>
        </w:pict>
      </w:r>
    </w:p>
    <w:p w14:paraId="77288CA9" w14:textId="77777777" w:rsidR="00823DAC" w:rsidRPr="002E5AA6" w:rsidRDefault="00823DAC" w:rsidP="00823DAC">
      <w:pPr>
        <w:spacing w:line="480" w:lineRule="auto"/>
        <w:ind w:left="720" w:hanging="720"/>
        <w:rPr>
          <w:noProof/>
          <w:szCs w:val="22"/>
        </w:rPr>
      </w:pPr>
    </w:p>
    <w:sectPr w:rsidR="00823DAC" w:rsidRPr="002E5AA6" w:rsidSect="001C3C8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7B7A" w14:textId="77777777" w:rsidR="00E961C7" w:rsidRDefault="00E961C7">
      <w:r>
        <w:separator/>
      </w:r>
    </w:p>
  </w:endnote>
  <w:endnote w:type="continuationSeparator" w:id="0">
    <w:p w14:paraId="7A4EB00A" w14:textId="77777777" w:rsidR="00E961C7" w:rsidRDefault="00E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ө">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EED06" w14:textId="77777777" w:rsidR="00E961C7" w:rsidRDefault="00E961C7">
      <w:r>
        <w:separator/>
      </w:r>
    </w:p>
  </w:footnote>
  <w:footnote w:type="continuationSeparator" w:id="0">
    <w:p w14:paraId="381BEB34" w14:textId="77777777" w:rsidR="00E961C7" w:rsidRDefault="00E96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E5A"/>
    <w:multiLevelType w:val="multilevel"/>
    <w:tmpl w:val="BE9E5B90"/>
    <w:lvl w:ilvl="0">
      <w:start w:val="3"/>
      <w:numFmt w:val="decimal"/>
      <w:lvlText w:val="%1"/>
      <w:lvlJc w:val="left"/>
      <w:pPr>
        <w:ind w:left="420" w:hanging="420"/>
      </w:pPr>
      <w:rPr>
        <w:rFonts w:hint="default"/>
      </w:rPr>
    </w:lvl>
    <w:lvl w:ilvl="1">
      <w:start w:val="2"/>
      <w:numFmt w:val="decimalZero"/>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332C40"/>
    <w:multiLevelType w:val="hybridMultilevel"/>
    <w:tmpl w:val="4770F916"/>
    <w:lvl w:ilvl="0" w:tplc="19D6AF66">
      <w:numFmt w:val="bullet"/>
      <w:lvlText w:val=""/>
      <w:lvlJc w:val="left"/>
      <w:pPr>
        <w:tabs>
          <w:tab w:val="num" w:pos="360"/>
        </w:tabs>
        <w:ind w:left="36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31508B0"/>
    <w:multiLevelType w:val="hybridMultilevel"/>
    <w:tmpl w:val="084ED850"/>
    <w:lvl w:ilvl="0" w:tplc="E1BA6138">
      <w:numFmt w:val="bullet"/>
      <w:lvlText w:val=""/>
      <w:lvlJc w:val="left"/>
      <w:pPr>
        <w:ind w:left="477" w:hanging="360"/>
      </w:pPr>
      <w:rPr>
        <w:rFonts w:ascii="Wingdings" w:eastAsia="新細明體" w:hAnsi="Wingdings" w:cs="Times New Roman" w:hint="default"/>
      </w:rPr>
    </w:lvl>
    <w:lvl w:ilvl="1" w:tplc="04090003" w:tentative="1">
      <w:start w:val="1"/>
      <w:numFmt w:val="bullet"/>
      <w:lvlText w:val=""/>
      <w:lvlJc w:val="left"/>
      <w:pPr>
        <w:ind w:left="1077" w:hanging="480"/>
      </w:pPr>
      <w:rPr>
        <w:rFonts w:ascii="Wingdings" w:hAnsi="Wingdings" w:hint="default"/>
      </w:rPr>
    </w:lvl>
    <w:lvl w:ilvl="2" w:tplc="04090005" w:tentative="1">
      <w:start w:val="1"/>
      <w:numFmt w:val="bullet"/>
      <w:lvlText w:val=""/>
      <w:lvlJc w:val="left"/>
      <w:pPr>
        <w:ind w:left="1557" w:hanging="480"/>
      </w:pPr>
      <w:rPr>
        <w:rFonts w:ascii="Wingdings" w:hAnsi="Wingdings" w:hint="default"/>
      </w:rPr>
    </w:lvl>
    <w:lvl w:ilvl="3" w:tplc="04090001" w:tentative="1">
      <w:start w:val="1"/>
      <w:numFmt w:val="bullet"/>
      <w:lvlText w:val=""/>
      <w:lvlJc w:val="left"/>
      <w:pPr>
        <w:ind w:left="2037" w:hanging="480"/>
      </w:pPr>
      <w:rPr>
        <w:rFonts w:ascii="Wingdings" w:hAnsi="Wingdings" w:hint="default"/>
      </w:rPr>
    </w:lvl>
    <w:lvl w:ilvl="4" w:tplc="04090003" w:tentative="1">
      <w:start w:val="1"/>
      <w:numFmt w:val="bullet"/>
      <w:lvlText w:val=""/>
      <w:lvlJc w:val="left"/>
      <w:pPr>
        <w:ind w:left="2517" w:hanging="480"/>
      </w:pPr>
      <w:rPr>
        <w:rFonts w:ascii="Wingdings" w:hAnsi="Wingdings" w:hint="default"/>
      </w:rPr>
    </w:lvl>
    <w:lvl w:ilvl="5" w:tplc="04090005" w:tentative="1">
      <w:start w:val="1"/>
      <w:numFmt w:val="bullet"/>
      <w:lvlText w:val=""/>
      <w:lvlJc w:val="left"/>
      <w:pPr>
        <w:ind w:left="2997" w:hanging="480"/>
      </w:pPr>
      <w:rPr>
        <w:rFonts w:ascii="Wingdings" w:hAnsi="Wingdings" w:hint="default"/>
      </w:rPr>
    </w:lvl>
    <w:lvl w:ilvl="6" w:tplc="04090001" w:tentative="1">
      <w:start w:val="1"/>
      <w:numFmt w:val="bullet"/>
      <w:lvlText w:val=""/>
      <w:lvlJc w:val="left"/>
      <w:pPr>
        <w:ind w:left="3477" w:hanging="480"/>
      </w:pPr>
      <w:rPr>
        <w:rFonts w:ascii="Wingdings" w:hAnsi="Wingdings" w:hint="default"/>
      </w:rPr>
    </w:lvl>
    <w:lvl w:ilvl="7" w:tplc="04090003" w:tentative="1">
      <w:start w:val="1"/>
      <w:numFmt w:val="bullet"/>
      <w:lvlText w:val=""/>
      <w:lvlJc w:val="left"/>
      <w:pPr>
        <w:ind w:left="3957" w:hanging="480"/>
      </w:pPr>
      <w:rPr>
        <w:rFonts w:ascii="Wingdings" w:hAnsi="Wingdings" w:hint="default"/>
      </w:rPr>
    </w:lvl>
    <w:lvl w:ilvl="8" w:tplc="04090005" w:tentative="1">
      <w:start w:val="1"/>
      <w:numFmt w:val="bullet"/>
      <w:lvlText w:val=""/>
      <w:lvlJc w:val="left"/>
      <w:pPr>
        <w:ind w:left="4437" w:hanging="480"/>
      </w:pPr>
      <w:rPr>
        <w:rFonts w:ascii="Wingdings" w:hAnsi="Wingdings" w:hint="default"/>
      </w:rPr>
    </w:lvl>
  </w:abstractNum>
  <w:abstractNum w:abstractNumId="3" w15:restartNumberingAfterBreak="0">
    <w:nsid w:val="24B73685"/>
    <w:multiLevelType w:val="hybridMultilevel"/>
    <w:tmpl w:val="2C2ABDE4"/>
    <w:lvl w:ilvl="0" w:tplc="4E5ECF66">
      <w:numFmt w:val="bullet"/>
      <w:lvlText w:val=""/>
      <w:lvlJc w:val="left"/>
      <w:pPr>
        <w:ind w:left="465" w:hanging="360"/>
      </w:pPr>
      <w:rPr>
        <w:rFonts w:ascii="Wingdings" w:eastAsia="新細明體" w:hAnsi="Wingdings" w:cs="Times New Roman" w:hint="default"/>
      </w:rPr>
    </w:lvl>
    <w:lvl w:ilvl="1" w:tplc="04090003" w:tentative="1">
      <w:start w:val="1"/>
      <w:numFmt w:val="bullet"/>
      <w:lvlText w:val=""/>
      <w:lvlJc w:val="left"/>
      <w:pPr>
        <w:ind w:left="1065" w:hanging="480"/>
      </w:pPr>
      <w:rPr>
        <w:rFonts w:ascii="Wingdings" w:hAnsi="Wingdings" w:hint="default"/>
      </w:rPr>
    </w:lvl>
    <w:lvl w:ilvl="2" w:tplc="04090005" w:tentative="1">
      <w:start w:val="1"/>
      <w:numFmt w:val="bullet"/>
      <w:lvlText w:val=""/>
      <w:lvlJc w:val="left"/>
      <w:pPr>
        <w:ind w:left="1545" w:hanging="480"/>
      </w:pPr>
      <w:rPr>
        <w:rFonts w:ascii="Wingdings" w:hAnsi="Wingdings" w:hint="default"/>
      </w:rPr>
    </w:lvl>
    <w:lvl w:ilvl="3" w:tplc="04090001" w:tentative="1">
      <w:start w:val="1"/>
      <w:numFmt w:val="bullet"/>
      <w:lvlText w:val=""/>
      <w:lvlJc w:val="left"/>
      <w:pPr>
        <w:ind w:left="2025" w:hanging="480"/>
      </w:pPr>
      <w:rPr>
        <w:rFonts w:ascii="Wingdings" w:hAnsi="Wingdings" w:hint="default"/>
      </w:rPr>
    </w:lvl>
    <w:lvl w:ilvl="4" w:tplc="04090003" w:tentative="1">
      <w:start w:val="1"/>
      <w:numFmt w:val="bullet"/>
      <w:lvlText w:val=""/>
      <w:lvlJc w:val="left"/>
      <w:pPr>
        <w:ind w:left="2505" w:hanging="480"/>
      </w:pPr>
      <w:rPr>
        <w:rFonts w:ascii="Wingdings" w:hAnsi="Wingdings" w:hint="default"/>
      </w:rPr>
    </w:lvl>
    <w:lvl w:ilvl="5" w:tplc="04090005" w:tentative="1">
      <w:start w:val="1"/>
      <w:numFmt w:val="bullet"/>
      <w:lvlText w:val=""/>
      <w:lvlJc w:val="left"/>
      <w:pPr>
        <w:ind w:left="2985" w:hanging="480"/>
      </w:pPr>
      <w:rPr>
        <w:rFonts w:ascii="Wingdings" w:hAnsi="Wingdings" w:hint="default"/>
      </w:rPr>
    </w:lvl>
    <w:lvl w:ilvl="6" w:tplc="04090001" w:tentative="1">
      <w:start w:val="1"/>
      <w:numFmt w:val="bullet"/>
      <w:lvlText w:val=""/>
      <w:lvlJc w:val="left"/>
      <w:pPr>
        <w:ind w:left="3465" w:hanging="480"/>
      </w:pPr>
      <w:rPr>
        <w:rFonts w:ascii="Wingdings" w:hAnsi="Wingdings" w:hint="default"/>
      </w:rPr>
    </w:lvl>
    <w:lvl w:ilvl="7" w:tplc="04090003" w:tentative="1">
      <w:start w:val="1"/>
      <w:numFmt w:val="bullet"/>
      <w:lvlText w:val=""/>
      <w:lvlJc w:val="left"/>
      <w:pPr>
        <w:ind w:left="3945" w:hanging="480"/>
      </w:pPr>
      <w:rPr>
        <w:rFonts w:ascii="Wingdings" w:hAnsi="Wingdings" w:hint="default"/>
      </w:rPr>
    </w:lvl>
    <w:lvl w:ilvl="8" w:tplc="04090005" w:tentative="1">
      <w:start w:val="1"/>
      <w:numFmt w:val="bullet"/>
      <w:lvlText w:val=""/>
      <w:lvlJc w:val="left"/>
      <w:pPr>
        <w:ind w:left="4425" w:hanging="480"/>
      </w:pPr>
      <w:rPr>
        <w:rFonts w:ascii="Wingdings" w:hAnsi="Wingdings" w:hint="default"/>
      </w:rPr>
    </w:lvl>
  </w:abstractNum>
  <w:abstractNum w:abstractNumId="4" w15:restartNumberingAfterBreak="0">
    <w:nsid w:val="2B713F69"/>
    <w:multiLevelType w:val="hybridMultilevel"/>
    <w:tmpl w:val="EE2C99B2"/>
    <w:lvl w:ilvl="0" w:tplc="09DCA830">
      <w:start w:val="5"/>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C5F0271"/>
    <w:multiLevelType w:val="multilevel"/>
    <w:tmpl w:val="BB927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543B40"/>
    <w:multiLevelType w:val="hybridMultilevel"/>
    <w:tmpl w:val="2BDC17D0"/>
    <w:lvl w:ilvl="0" w:tplc="188E4172">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FDA3C6C"/>
    <w:multiLevelType w:val="hybridMultilevel"/>
    <w:tmpl w:val="58BA347C"/>
    <w:lvl w:ilvl="0" w:tplc="FFFFFFFF">
      <w:start w:val="1"/>
      <w:numFmt w:val="lowerRoman"/>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44094D7C"/>
    <w:multiLevelType w:val="hybridMultilevel"/>
    <w:tmpl w:val="BE86C426"/>
    <w:lvl w:ilvl="0" w:tplc="79A2B7FC">
      <w:start w:val="5"/>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9353089"/>
    <w:multiLevelType w:val="hybridMultilevel"/>
    <w:tmpl w:val="78C23B9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50743786"/>
    <w:multiLevelType w:val="hybridMultilevel"/>
    <w:tmpl w:val="F51838BA"/>
    <w:lvl w:ilvl="0" w:tplc="26FE67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865595"/>
    <w:multiLevelType w:val="hybridMultilevel"/>
    <w:tmpl w:val="8F6EE866"/>
    <w:lvl w:ilvl="0" w:tplc="0E0664C0">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82968D0"/>
    <w:multiLevelType w:val="hybridMultilevel"/>
    <w:tmpl w:val="4B1CD346"/>
    <w:lvl w:ilvl="0" w:tplc="C1206132">
      <w:start w:val="1"/>
      <w:numFmt w:val="bullet"/>
      <w:lvlText w:val=""/>
      <w:lvlJc w:val="left"/>
      <w:pPr>
        <w:ind w:left="218" w:hanging="360"/>
      </w:pPr>
      <w:rPr>
        <w:rFonts w:ascii="Wingdings" w:eastAsia="新細明體" w:hAnsi="Wingdings" w:cs="Times New Roman" w:hint="default"/>
      </w:rPr>
    </w:lvl>
    <w:lvl w:ilvl="1" w:tplc="04090003" w:tentative="1">
      <w:start w:val="1"/>
      <w:numFmt w:val="bullet"/>
      <w:lvlText w:val=""/>
      <w:lvlJc w:val="left"/>
      <w:pPr>
        <w:ind w:left="818" w:hanging="480"/>
      </w:pPr>
      <w:rPr>
        <w:rFonts w:ascii="Wingdings" w:hAnsi="Wingdings" w:hint="default"/>
      </w:rPr>
    </w:lvl>
    <w:lvl w:ilvl="2" w:tplc="04090005" w:tentative="1">
      <w:start w:val="1"/>
      <w:numFmt w:val="bullet"/>
      <w:lvlText w:val=""/>
      <w:lvlJc w:val="left"/>
      <w:pPr>
        <w:ind w:left="1298" w:hanging="480"/>
      </w:pPr>
      <w:rPr>
        <w:rFonts w:ascii="Wingdings" w:hAnsi="Wingdings" w:hint="default"/>
      </w:rPr>
    </w:lvl>
    <w:lvl w:ilvl="3" w:tplc="04090001" w:tentative="1">
      <w:start w:val="1"/>
      <w:numFmt w:val="bullet"/>
      <w:lvlText w:val=""/>
      <w:lvlJc w:val="left"/>
      <w:pPr>
        <w:ind w:left="1778" w:hanging="480"/>
      </w:pPr>
      <w:rPr>
        <w:rFonts w:ascii="Wingdings" w:hAnsi="Wingdings" w:hint="default"/>
      </w:rPr>
    </w:lvl>
    <w:lvl w:ilvl="4" w:tplc="04090003" w:tentative="1">
      <w:start w:val="1"/>
      <w:numFmt w:val="bullet"/>
      <w:lvlText w:val=""/>
      <w:lvlJc w:val="left"/>
      <w:pPr>
        <w:ind w:left="2258" w:hanging="480"/>
      </w:pPr>
      <w:rPr>
        <w:rFonts w:ascii="Wingdings" w:hAnsi="Wingdings" w:hint="default"/>
      </w:rPr>
    </w:lvl>
    <w:lvl w:ilvl="5" w:tplc="04090005" w:tentative="1">
      <w:start w:val="1"/>
      <w:numFmt w:val="bullet"/>
      <w:lvlText w:val=""/>
      <w:lvlJc w:val="left"/>
      <w:pPr>
        <w:ind w:left="2738" w:hanging="480"/>
      </w:pPr>
      <w:rPr>
        <w:rFonts w:ascii="Wingdings" w:hAnsi="Wingdings" w:hint="default"/>
      </w:rPr>
    </w:lvl>
    <w:lvl w:ilvl="6" w:tplc="04090001" w:tentative="1">
      <w:start w:val="1"/>
      <w:numFmt w:val="bullet"/>
      <w:lvlText w:val=""/>
      <w:lvlJc w:val="left"/>
      <w:pPr>
        <w:ind w:left="3218" w:hanging="480"/>
      </w:pPr>
      <w:rPr>
        <w:rFonts w:ascii="Wingdings" w:hAnsi="Wingdings" w:hint="default"/>
      </w:rPr>
    </w:lvl>
    <w:lvl w:ilvl="7" w:tplc="04090003" w:tentative="1">
      <w:start w:val="1"/>
      <w:numFmt w:val="bullet"/>
      <w:lvlText w:val=""/>
      <w:lvlJc w:val="left"/>
      <w:pPr>
        <w:ind w:left="3698" w:hanging="480"/>
      </w:pPr>
      <w:rPr>
        <w:rFonts w:ascii="Wingdings" w:hAnsi="Wingdings" w:hint="default"/>
      </w:rPr>
    </w:lvl>
    <w:lvl w:ilvl="8" w:tplc="04090005" w:tentative="1">
      <w:start w:val="1"/>
      <w:numFmt w:val="bullet"/>
      <w:lvlText w:val=""/>
      <w:lvlJc w:val="left"/>
      <w:pPr>
        <w:ind w:left="4178" w:hanging="480"/>
      </w:pPr>
      <w:rPr>
        <w:rFonts w:ascii="Wingdings" w:hAnsi="Wingdings" w:hint="default"/>
      </w:rPr>
    </w:lvl>
  </w:abstractNum>
  <w:abstractNum w:abstractNumId="13" w15:restartNumberingAfterBreak="0">
    <w:nsid w:val="70635413"/>
    <w:multiLevelType w:val="hybridMultilevel"/>
    <w:tmpl w:val="452ACDA8"/>
    <w:lvl w:ilvl="0" w:tplc="FFFFFFFF">
      <w:start w:val="1"/>
      <w:numFmt w:val="decimal"/>
      <w:lvlText w:val="%1."/>
      <w:lvlJc w:val="left"/>
      <w:pPr>
        <w:ind w:left="480" w:hanging="48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71BB5D4E"/>
    <w:multiLevelType w:val="hybridMultilevel"/>
    <w:tmpl w:val="7C3ED294"/>
    <w:lvl w:ilvl="0" w:tplc="E208E1DE">
      <w:start w:val="5"/>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1D53958"/>
    <w:multiLevelType w:val="hybridMultilevel"/>
    <w:tmpl w:val="0FD22948"/>
    <w:lvl w:ilvl="0" w:tplc="27BE07B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1FD4B6F"/>
    <w:multiLevelType w:val="hybridMultilevel"/>
    <w:tmpl w:val="DE0035CA"/>
    <w:lvl w:ilvl="0" w:tplc="FFFFFFFF">
      <w:numFmt w:val="bullet"/>
      <w:lvlText w:val="-"/>
      <w:lvlJc w:val="left"/>
      <w:pPr>
        <w:ind w:left="360" w:hanging="360"/>
      </w:pPr>
      <w:rPr>
        <w:rFonts w:ascii="Times New Roman" w:eastAsia="新細明體" w:hAnsi="Times New Roman" w:cs="Times New Roman" w:hint="default"/>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17" w15:restartNumberingAfterBreak="0">
    <w:nsid w:val="73DA3ACA"/>
    <w:multiLevelType w:val="hybridMultilevel"/>
    <w:tmpl w:val="05AE54D2"/>
    <w:lvl w:ilvl="0" w:tplc="FFFFFFFF">
      <w:start w:val="1"/>
      <w:numFmt w:val="lowerRoman"/>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7C8C67F9"/>
    <w:multiLevelType w:val="hybridMultilevel"/>
    <w:tmpl w:val="01E61422"/>
    <w:lvl w:ilvl="0" w:tplc="79C88626">
      <w:numFmt w:val="bullet"/>
      <w:lvlText w:val=""/>
      <w:lvlJc w:val="left"/>
      <w:pPr>
        <w:ind w:left="465" w:hanging="360"/>
      </w:pPr>
      <w:rPr>
        <w:rFonts w:ascii="Wingdings" w:eastAsia="新細明體" w:hAnsi="Wingdings" w:cs="Times New Roman" w:hint="default"/>
      </w:rPr>
    </w:lvl>
    <w:lvl w:ilvl="1" w:tplc="04090003" w:tentative="1">
      <w:start w:val="1"/>
      <w:numFmt w:val="bullet"/>
      <w:lvlText w:val=""/>
      <w:lvlJc w:val="left"/>
      <w:pPr>
        <w:ind w:left="1065" w:hanging="480"/>
      </w:pPr>
      <w:rPr>
        <w:rFonts w:ascii="Wingdings" w:hAnsi="Wingdings" w:hint="default"/>
      </w:rPr>
    </w:lvl>
    <w:lvl w:ilvl="2" w:tplc="04090005" w:tentative="1">
      <w:start w:val="1"/>
      <w:numFmt w:val="bullet"/>
      <w:lvlText w:val=""/>
      <w:lvlJc w:val="left"/>
      <w:pPr>
        <w:ind w:left="1545" w:hanging="480"/>
      </w:pPr>
      <w:rPr>
        <w:rFonts w:ascii="Wingdings" w:hAnsi="Wingdings" w:hint="default"/>
      </w:rPr>
    </w:lvl>
    <w:lvl w:ilvl="3" w:tplc="04090001" w:tentative="1">
      <w:start w:val="1"/>
      <w:numFmt w:val="bullet"/>
      <w:lvlText w:val=""/>
      <w:lvlJc w:val="left"/>
      <w:pPr>
        <w:ind w:left="2025" w:hanging="480"/>
      </w:pPr>
      <w:rPr>
        <w:rFonts w:ascii="Wingdings" w:hAnsi="Wingdings" w:hint="default"/>
      </w:rPr>
    </w:lvl>
    <w:lvl w:ilvl="4" w:tplc="04090003" w:tentative="1">
      <w:start w:val="1"/>
      <w:numFmt w:val="bullet"/>
      <w:lvlText w:val=""/>
      <w:lvlJc w:val="left"/>
      <w:pPr>
        <w:ind w:left="2505" w:hanging="480"/>
      </w:pPr>
      <w:rPr>
        <w:rFonts w:ascii="Wingdings" w:hAnsi="Wingdings" w:hint="default"/>
      </w:rPr>
    </w:lvl>
    <w:lvl w:ilvl="5" w:tplc="04090005" w:tentative="1">
      <w:start w:val="1"/>
      <w:numFmt w:val="bullet"/>
      <w:lvlText w:val=""/>
      <w:lvlJc w:val="left"/>
      <w:pPr>
        <w:ind w:left="2985" w:hanging="480"/>
      </w:pPr>
      <w:rPr>
        <w:rFonts w:ascii="Wingdings" w:hAnsi="Wingdings" w:hint="default"/>
      </w:rPr>
    </w:lvl>
    <w:lvl w:ilvl="6" w:tplc="04090001" w:tentative="1">
      <w:start w:val="1"/>
      <w:numFmt w:val="bullet"/>
      <w:lvlText w:val=""/>
      <w:lvlJc w:val="left"/>
      <w:pPr>
        <w:ind w:left="3465" w:hanging="480"/>
      </w:pPr>
      <w:rPr>
        <w:rFonts w:ascii="Wingdings" w:hAnsi="Wingdings" w:hint="default"/>
      </w:rPr>
    </w:lvl>
    <w:lvl w:ilvl="7" w:tplc="04090003" w:tentative="1">
      <w:start w:val="1"/>
      <w:numFmt w:val="bullet"/>
      <w:lvlText w:val=""/>
      <w:lvlJc w:val="left"/>
      <w:pPr>
        <w:ind w:left="3945" w:hanging="480"/>
      </w:pPr>
      <w:rPr>
        <w:rFonts w:ascii="Wingdings" w:hAnsi="Wingdings" w:hint="default"/>
      </w:rPr>
    </w:lvl>
    <w:lvl w:ilvl="8" w:tplc="04090005" w:tentative="1">
      <w:start w:val="1"/>
      <w:numFmt w:val="bullet"/>
      <w:lvlText w:val=""/>
      <w:lvlJc w:val="left"/>
      <w:pPr>
        <w:ind w:left="4425" w:hanging="480"/>
      </w:pPr>
      <w:rPr>
        <w:rFonts w:ascii="Wingdings" w:hAnsi="Wingdings" w:hint="default"/>
      </w:rPr>
    </w:lvl>
  </w:abstractNum>
  <w:num w:numId="1">
    <w:abstractNumId w:val="15"/>
  </w:num>
  <w:num w:numId="2">
    <w:abstractNumId w:val="1"/>
  </w:num>
  <w:num w:numId="3">
    <w:abstractNumId w:val="16"/>
  </w:num>
  <w:num w:numId="4">
    <w:abstractNumId w:val="13"/>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5"/>
  </w:num>
  <w:num w:numId="11">
    <w:abstractNumId w:val="4"/>
  </w:num>
  <w:num w:numId="12">
    <w:abstractNumId w:val="14"/>
  </w:num>
  <w:num w:numId="13">
    <w:abstractNumId w:val="2"/>
  </w:num>
  <w:num w:numId="14">
    <w:abstractNumId w:val="18"/>
  </w:num>
  <w:num w:numId="15">
    <w:abstractNumId w:val="11"/>
  </w:num>
  <w:num w:numId="16">
    <w:abstractNumId w:val="3"/>
  </w:num>
  <w:num w:numId="17">
    <w:abstractNumId w:val="6"/>
  </w:num>
  <w:num w:numId="18">
    <w:abstractNumId w:val="8"/>
  </w:num>
  <w:num w:numId="19">
    <w:abstractNumId w:val="12"/>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04E7"/>
    <w:rsid w:val="000007D6"/>
    <w:rsid w:val="0009443D"/>
    <w:rsid w:val="00095000"/>
    <w:rsid w:val="000969E2"/>
    <w:rsid w:val="000E2535"/>
    <w:rsid w:val="001C3C81"/>
    <w:rsid w:val="001E50D1"/>
    <w:rsid w:val="00224585"/>
    <w:rsid w:val="00235321"/>
    <w:rsid w:val="00244843"/>
    <w:rsid w:val="0027173B"/>
    <w:rsid w:val="00273466"/>
    <w:rsid w:val="002E57B0"/>
    <w:rsid w:val="002E5AA6"/>
    <w:rsid w:val="00317FDE"/>
    <w:rsid w:val="00353D10"/>
    <w:rsid w:val="00360458"/>
    <w:rsid w:val="0036511B"/>
    <w:rsid w:val="003B589B"/>
    <w:rsid w:val="003C62CE"/>
    <w:rsid w:val="004371FC"/>
    <w:rsid w:val="00467DF5"/>
    <w:rsid w:val="0050057F"/>
    <w:rsid w:val="00547409"/>
    <w:rsid w:val="00570994"/>
    <w:rsid w:val="005B7EC5"/>
    <w:rsid w:val="006620E5"/>
    <w:rsid w:val="006D048D"/>
    <w:rsid w:val="00715928"/>
    <w:rsid w:val="00735A38"/>
    <w:rsid w:val="007D44ED"/>
    <w:rsid w:val="007F20C4"/>
    <w:rsid w:val="00802DC5"/>
    <w:rsid w:val="008205E2"/>
    <w:rsid w:val="00823DAC"/>
    <w:rsid w:val="0084143C"/>
    <w:rsid w:val="008604E7"/>
    <w:rsid w:val="00877E50"/>
    <w:rsid w:val="00880B33"/>
    <w:rsid w:val="008B761C"/>
    <w:rsid w:val="008D12F2"/>
    <w:rsid w:val="00911506"/>
    <w:rsid w:val="0092431A"/>
    <w:rsid w:val="00986DD4"/>
    <w:rsid w:val="009C2E40"/>
    <w:rsid w:val="009C56C8"/>
    <w:rsid w:val="00A32D23"/>
    <w:rsid w:val="00A43D52"/>
    <w:rsid w:val="00A63551"/>
    <w:rsid w:val="00AB59CA"/>
    <w:rsid w:val="00AB6B8F"/>
    <w:rsid w:val="00AC38A6"/>
    <w:rsid w:val="00AF3700"/>
    <w:rsid w:val="00B02D8B"/>
    <w:rsid w:val="00B054B1"/>
    <w:rsid w:val="00BE3A33"/>
    <w:rsid w:val="00C62DAD"/>
    <w:rsid w:val="00C92B57"/>
    <w:rsid w:val="00CA1BFA"/>
    <w:rsid w:val="00CB4E14"/>
    <w:rsid w:val="00D109F3"/>
    <w:rsid w:val="00D529DB"/>
    <w:rsid w:val="00D65A11"/>
    <w:rsid w:val="00D7640B"/>
    <w:rsid w:val="00DA402E"/>
    <w:rsid w:val="00DF3A98"/>
    <w:rsid w:val="00E37E2F"/>
    <w:rsid w:val="00E84EBC"/>
    <w:rsid w:val="00E961C7"/>
    <w:rsid w:val="00EE46AE"/>
    <w:rsid w:val="00F25574"/>
    <w:rsid w:val="00F35FEF"/>
    <w:rsid w:val="00F567AF"/>
    <w:rsid w:val="00F93CD0"/>
    <w:rsid w:val="00F9618B"/>
    <w:rsid w:val="00FA2D5E"/>
    <w:rsid w:val="00FF4C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B3B2C"/>
  <w15:chartTrackingRefBased/>
  <w15:docId w15:val="{A5CECF85-8EFD-4AF0-BFF5-1A422908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2">
    <w:name w:val="heading 2"/>
    <w:basedOn w:val="a"/>
    <w:next w:val="a"/>
    <w:qFormat/>
    <w:rsid w:val="00AB59CA"/>
    <w:pPr>
      <w:keepNext/>
      <w:widowControl/>
      <w:jc w:val="center"/>
      <w:outlineLvl w:val="1"/>
    </w:pPr>
    <w:rPr>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beforeLines="100" w:before="360" w:afterLines="100" w:after="360"/>
      <w:ind w:firstLineChars="150" w:firstLine="360"/>
    </w:pPr>
  </w:style>
  <w:style w:type="character" w:styleId="a4">
    <w:name w:val="Hyperlink"/>
    <w:uiPriority w:val="99"/>
    <w:rPr>
      <w:color w:val="0000FF"/>
      <w:u w:val="single"/>
    </w:rPr>
  </w:style>
  <w:style w:type="paragraph" w:styleId="a5">
    <w:name w:val="header"/>
    <w:basedOn w:val="a"/>
    <w:link w:val="a6"/>
    <w:uiPriority w:val="99"/>
    <w:pPr>
      <w:tabs>
        <w:tab w:val="center" w:pos="4153"/>
        <w:tab w:val="right" w:pos="8306"/>
      </w:tabs>
      <w:snapToGrid w:val="0"/>
    </w:pPr>
    <w:rPr>
      <w:sz w:val="20"/>
      <w:szCs w:val="20"/>
    </w:r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style>
  <w:style w:type="paragraph" w:styleId="aa">
    <w:name w:val="Balloon Text"/>
    <w:basedOn w:val="a"/>
    <w:link w:val="ab"/>
    <w:uiPriority w:val="99"/>
    <w:semiHidden/>
    <w:rPr>
      <w:rFonts w:ascii="Arial" w:hAnsi="Arial"/>
      <w:sz w:val="18"/>
      <w:szCs w:val="18"/>
    </w:rPr>
  </w:style>
  <w:style w:type="character" w:styleId="ac">
    <w:name w:val="FollowedHyperlink"/>
    <w:semiHidden/>
    <w:rPr>
      <w:color w:val="800080"/>
      <w:u w:val="single"/>
    </w:rPr>
  </w:style>
  <w:style w:type="paragraph" w:customStyle="1" w:styleId="24">
    <w:name w:val="標題 24"/>
    <w:basedOn w:val="a"/>
    <w:pPr>
      <w:widowControl/>
      <w:pBdr>
        <w:top w:val="single" w:sz="6" w:space="6" w:color="CCCCCC"/>
        <w:left w:val="single" w:sz="6" w:space="6" w:color="CCCCCC"/>
        <w:bottom w:val="single" w:sz="6" w:space="6" w:color="CCCCCC"/>
        <w:right w:val="single" w:sz="6" w:space="6" w:color="CCCCCC"/>
      </w:pBdr>
      <w:shd w:val="clear" w:color="auto" w:fill="F0F8FF"/>
      <w:spacing w:before="240" w:after="240"/>
      <w:outlineLvl w:val="2"/>
    </w:pPr>
    <w:rPr>
      <w:rFonts w:ascii="Arial" w:hAnsi="Arial" w:cs="Arial"/>
      <w:b/>
      <w:bCs/>
      <w:kern w:val="0"/>
      <w:sz w:val="23"/>
      <w:szCs w:val="23"/>
    </w:rPr>
  </w:style>
  <w:style w:type="character" w:customStyle="1" w:styleId="name1">
    <w:name w:val="name1"/>
    <w:rPr>
      <w:rFonts w:ascii="Arial" w:hAnsi="Arial" w:cs="Arial" w:hint="default"/>
      <w:color w:val="333333"/>
      <w:sz w:val="18"/>
      <w:szCs w:val="18"/>
    </w:rPr>
  </w:style>
  <w:style w:type="paragraph" w:styleId="ad">
    <w:name w:val="Body Text"/>
    <w:basedOn w:val="a"/>
    <w:semiHidden/>
    <w:pPr>
      <w:spacing w:line="480" w:lineRule="exact"/>
      <w:ind w:right="23"/>
      <w:jc w:val="both"/>
    </w:pPr>
    <w:rPr>
      <w:rFonts w:ascii="標楷體" w:eastAsia="標楷體" w:hAnsi="標楷體"/>
      <w:b/>
      <w:color w:val="000000"/>
      <w:sz w:val="36"/>
      <w:szCs w:val="36"/>
    </w:rPr>
  </w:style>
  <w:style w:type="paragraph" w:styleId="ae">
    <w:name w:val="Date"/>
    <w:basedOn w:val="a"/>
    <w:next w:val="a"/>
    <w:rsid w:val="00911506"/>
    <w:pPr>
      <w:jc w:val="right"/>
    </w:pPr>
  </w:style>
  <w:style w:type="character" w:customStyle="1" w:styleId="apple-style-span">
    <w:name w:val="apple-style-span"/>
    <w:basedOn w:val="a0"/>
    <w:rsid w:val="000007D6"/>
  </w:style>
  <w:style w:type="paragraph" w:styleId="af">
    <w:name w:val="Title"/>
    <w:basedOn w:val="a"/>
    <w:next w:val="a"/>
    <w:link w:val="af0"/>
    <w:uiPriority w:val="10"/>
    <w:qFormat/>
    <w:rsid w:val="00235321"/>
    <w:pPr>
      <w:spacing w:before="240" w:after="60"/>
      <w:jc w:val="center"/>
      <w:outlineLvl w:val="0"/>
    </w:pPr>
    <w:rPr>
      <w:rFonts w:ascii="Cambria" w:hAnsi="Cambria"/>
      <w:b/>
      <w:bCs/>
      <w:kern w:val="0"/>
      <w:sz w:val="32"/>
      <w:szCs w:val="32"/>
      <w:lang w:val="x-none" w:eastAsia="x-none"/>
    </w:rPr>
  </w:style>
  <w:style w:type="character" w:customStyle="1" w:styleId="af0">
    <w:name w:val="標題 字元"/>
    <w:link w:val="af"/>
    <w:uiPriority w:val="10"/>
    <w:rsid w:val="00235321"/>
    <w:rPr>
      <w:rFonts w:ascii="Cambria" w:hAnsi="Cambria"/>
      <w:b/>
      <w:bCs/>
      <w:sz w:val="32"/>
      <w:szCs w:val="32"/>
      <w:lang w:val="x-none" w:eastAsia="x-none"/>
    </w:rPr>
  </w:style>
  <w:style w:type="character" w:customStyle="1" w:styleId="TitleChar">
    <w:name w:val="Title Char"/>
    <w:rsid w:val="00235321"/>
    <w:rPr>
      <w:rFonts w:ascii="Cambria" w:eastAsia="新細明體" w:hAnsi="Cambria" w:cs="Times New Roman"/>
      <w:b/>
      <w:bCs/>
      <w:noProof w:val="0"/>
      <w:kern w:val="0"/>
      <w:sz w:val="32"/>
      <w:szCs w:val="32"/>
      <w:lang w:val="x-none" w:eastAsia="x-none"/>
    </w:rPr>
  </w:style>
  <w:style w:type="character" w:customStyle="1" w:styleId="a6">
    <w:name w:val="頁首 字元"/>
    <w:link w:val="a5"/>
    <w:uiPriority w:val="99"/>
    <w:rsid w:val="00235321"/>
    <w:rPr>
      <w:kern w:val="2"/>
    </w:rPr>
  </w:style>
  <w:style w:type="character" w:customStyle="1" w:styleId="HeaderChar">
    <w:name w:val="Header Char"/>
    <w:rsid w:val="00235321"/>
    <w:rPr>
      <w:rFonts w:ascii="Calibri" w:eastAsia="新細明體" w:hAnsi="Calibri" w:cs="Times New Roman"/>
      <w:noProof w:val="0"/>
      <w:kern w:val="0"/>
      <w:sz w:val="20"/>
      <w:szCs w:val="20"/>
      <w:lang w:val="x-none" w:eastAsia="x-none"/>
    </w:rPr>
  </w:style>
  <w:style w:type="character" w:customStyle="1" w:styleId="a8">
    <w:name w:val="頁尾 字元"/>
    <w:link w:val="a7"/>
    <w:uiPriority w:val="99"/>
    <w:rsid w:val="00235321"/>
    <w:rPr>
      <w:kern w:val="2"/>
    </w:rPr>
  </w:style>
  <w:style w:type="character" w:customStyle="1" w:styleId="FooterChar">
    <w:name w:val="Footer Char"/>
    <w:rsid w:val="00235321"/>
    <w:rPr>
      <w:rFonts w:ascii="Calibri" w:eastAsia="新細明體" w:hAnsi="Calibri" w:cs="Times New Roman"/>
      <w:noProof w:val="0"/>
      <w:kern w:val="0"/>
      <w:sz w:val="20"/>
      <w:szCs w:val="20"/>
      <w:lang w:val="x-none" w:eastAsia="x-none"/>
    </w:rPr>
  </w:style>
  <w:style w:type="paragraph" w:styleId="af1">
    <w:name w:val="Document Map"/>
    <w:basedOn w:val="a"/>
    <w:link w:val="af2"/>
    <w:uiPriority w:val="99"/>
    <w:semiHidden/>
    <w:unhideWhenUsed/>
    <w:rsid w:val="00235321"/>
    <w:rPr>
      <w:rFonts w:ascii="新細明體" w:hAnsi="Calibri"/>
      <w:kern w:val="0"/>
      <w:sz w:val="18"/>
      <w:szCs w:val="18"/>
      <w:lang w:val="x-none" w:eastAsia="x-none"/>
    </w:rPr>
  </w:style>
  <w:style w:type="character" w:customStyle="1" w:styleId="af2">
    <w:name w:val="文件引導模式 字元"/>
    <w:link w:val="af1"/>
    <w:uiPriority w:val="99"/>
    <w:semiHidden/>
    <w:rsid w:val="00235321"/>
    <w:rPr>
      <w:rFonts w:ascii="新細明體" w:hAnsi="Calibri"/>
      <w:sz w:val="18"/>
      <w:szCs w:val="18"/>
      <w:lang w:val="x-none" w:eastAsia="x-none"/>
    </w:rPr>
  </w:style>
  <w:style w:type="character" w:customStyle="1" w:styleId="DocumentMapChar">
    <w:name w:val="Document Map Char"/>
    <w:semiHidden/>
    <w:rsid w:val="00235321"/>
    <w:rPr>
      <w:rFonts w:ascii="新細明體" w:eastAsia="新細明體" w:hAnsi="Calibri" w:cs="Times New Roman"/>
      <w:noProof w:val="0"/>
      <w:kern w:val="0"/>
      <w:sz w:val="18"/>
      <w:szCs w:val="18"/>
      <w:lang w:val="x-none" w:eastAsia="x-none"/>
    </w:rPr>
  </w:style>
  <w:style w:type="character" w:customStyle="1" w:styleId="ab">
    <w:name w:val="註解方塊文字 字元"/>
    <w:link w:val="aa"/>
    <w:uiPriority w:val="99"/>
    <w:semiHidden/>
    <w:rsid w:val="00235321"/>
    <w:rPr>
      <w:rFonts w:ascii="Arial" w:hAnsi="Arial"/>
      <w:kern w:val="2"/>
      <w:sz w:val="18"/>
      <w:szCs w:val="18"/>
    </w:rPr>
  </w:style>
  <w:style w:type="character" w:customStyle="1" w:styleId="BalloonTextChar">
    <w:name w:val="Balloon Text Char"/>
    <w:semiHidden/>
    <w:rsid w:val="00235321"/>
    <w:rPr>
      <w:rFonts w:ascii="Cambria" w:eastAsia="新細明體" w:hAnsi="Cambria" w:cs="Times New Roman"/>
      <w:noProof w:val="0"/>
      <w:sz w:val="18"/>
      <w:szCs w:val="18"/>
      <w:lang w:val="x-none" w:eastAsia="x-none"/>
    </w:rPr>
  </w:style>
  <w:style w:type="character" w:styleId="af3">
    <w:name w:val="annotation reference"/>
    <w:uiPriority w:val="99"/>
    <w:semiHidden/>
    <w:unhideWhenUsed/>
    <w:rsid w:val="00235321"/>
    <w:rPr>
      <w:sz w:val="18"/>
      <w:szCs w:val="18"/>
    </w:rPr>
  </w:style>
  <w:style w:type="paragraph" w:styleId="af4">
    <w:name w:val="annotation text"/>
    <w:basedOn w:val="a"/>
    <w:link w:val="af5"/>
    <w:uiPriority w:val="99"/>
    <w:semiHidden/>
    <w:unhideWhenUsed/>
    <w:rsid w:val="00235321"/>
    <w:rPr>
      <w:rFonts w:ascii="Calibri" w:hAnsi="Calibri"/>
      <w:szCs w:val="22"/>
      <w:lang w:val="x-none" w:eastAsia="x-none"/>
    </w:rPr>
  </w:style>
  <w:style w:type="character" w:customStyle="1" w:styleId="af5">
    <w:name w:val="註解文字 字元"/>
    <w:link w:val="af4"/>
    <w:uiPriority w:val="99"/>
    <w:semiHidden/>
    <w:rsid w:val="00235321"/>
    <w:rPr>
      <w:rFonts w:ascii="Calibri" w:hAnsi="Calibri"/>
      <w:kern w:val="2"/>
      <w:sz w:val="24"/>
      <w:szCs w:val="22"/>
      <w:lang w:val="x-none" w:eastAsia="x-none"/>
    </w:rPr>
  </w:style>
  <w:style w:type="character" w:customStyle="1" w:styleId="CommentTextChar">
    <w:name w:val="Comment Text Char"/>
    <w:semiHidden/>
    <w:rsid w:val="00235321"/>
    <w:rPr>
      <w:rFonts w:ascii="Calibri" w:eastAsia="新細明體" w:hAnsi="Calibri" w:cs="Times New Roman"/>
      <w:noProof w:val="0"/>
      <w:lang w:val="x-none" w:eastAsia="x-none"/>
    </w:rPr>
  </w:style>
  <w:style w:type="paragraph" w:styleId="af6">
    <w:name w:val="annotation subject"/>
    <w:basedOn w:val="af4"/>
    <w:next w:val="af4"/>
    <w:link w:val="af7"/>
    <w:uiPriority w:val="99"/>
    <w:semiHidden/>
    <w:unhideWhenUsed/>
    <w:rsid w:val="00235321"/>
    <w:rPr>
      <w:b/>
      <w:bCs/>
    </w:rPr>
  </w:style>
  <w:style w:type="character" w:customStyle="1" w:styleId="af7">
    <w:name w:val="註解主旨 字元"/>
    <w:link w:val="af6"/>
    <w:uiPriority w:val="99"/>
    <w:semiHidden/>
    <w:rsid w:val="00235321"/>
    <w:rPr>
      <w:rFonts w:ascii="Calibri" w:hAnsi="Calibri"/>
      <w:b/>
      <w:bCs/>
      <w:kern w:val="2"/>
      <w:sz w:val="24"/>
      <w:szCs w:val="22"/>
      <w:lang w:val="x-none" w:eastAsia="x-none"/>
    </w:rPr>
  </w:style>
  <w:style w:type="character" w:customStyle="1" w:styleId="CommentSubjectChar">
    <w:name w:val="Comment Subject Char"/>
    <w:semiHidden/>
    <w:rsid w:val="00235321"/>
    <w:rPr>
      <w:rFonts w:ascii="Calibri" w:eastAsia="新細明體" w:hAnsi="Calibri" w:cs="Times New Roman"/>
      <w:b/>
      <w:bCs/>
      <w:noProof w:val="0"/>
      <w:lang w:val="x-none" w:eastAsia="x-none"/>
    </w:rPr>
  </w:style>
  <w:style w:type="paragraph" w:styleId="af8">
    <w:name w:val="Revision"/>
    <w:hidden/>
    <w:uiPriority w:val="99"/>
    <w:semiHidden/>
    <w:rsid w:val="00235321"/>
    <w:rPr>
      <w:rFonts w:ascii="Calibri" w:hAnsi="Calibri"/>
      <w:kern w:val="2"/>
      <w:sz w:val="24"/>
      <w:szCs w:val="22"/>
    </w:rPr>
  </w:style>
  <w:style w:type="character" w:styleId="af9">
    <w:name w:val="line number"/>
    <w:uiPriority w:val="99"/>
    <w:semiHidden/>
    <w:unhideWhenUsed/>
    <w:rsid w:val="00235321"/>
  </w:style>
  <w:style w:type="paragraph" w:customStyle="1" w:styleId="EndNoteBibliographyTitle">
    <w:name w:val="EndNote Bibliography Title"/>
    <w:basedOn w:val="a"/>
    <w:link w:val="EndNoteBibliographyTitle0"/>
    <w:rsid w:val="00235321"/>
    <w:pPr>
      <w:jc w:val="center"/>
    </w:pPr>
    <w:rPr>
      <w:noProof/>
      <w:szCs w:val="22"/>
    </w:rPr>
  </w:style>
  <w:style w:type="character" w:customStyle="1" w:styleId="EndNoteBibliographyTitle0">
    <w:name w:val="EndNote Bibliography Title 字元"/>
    <w:link w:val="EndNoteBibliographyTitle"/>
    <w:rsid w:val="00235321"/>
    <w:rPr>
      <w:noProof/>
      <w:kern w:val="2"/>
      <w:sz w:val="24"/>
      <w:szCs w:val="22"/>
    </w:rPr>
  </w:style>
  <w:style w:type="paragraph" w:customStyle="1" w:styleId="EndNoteBibliography">
    <w:name w:val="EndNote Bibliography"/>
    <w:basedOn w:val="a"/>
    <w:link w:val="EndNoteBibliography0"/>
    <w:rsid w:val="00235321"/>
    <w:pPr>
      <w:jc w:val="both"/>
    </w:pPr>
    <w:rPr>
      <w:noProof/>
      <w:szCs w:val="22"/>
    </w:rPr>
  </w:style>
  <w:style w:type="character" w:customStyle="1" w:styleId="EndNoteBibliography0">
    <w:name w:val="EndNote Bibliography 字元"/>
    <w:link w:val="EndNoteBibliography"/>
    <w:rsid w:val="00235321"/>
    <w:rPr>
      <w:noProof/>
      <w:kern w:val="2"/>
      <w:sz w:val="24"/>
      <w:szCs w:val="22"/>
    </w:rPr>
  </w:style>
  <w:style w:type="character" w:styleId="afa">
    <w:name w:val="Subtle Emphasis"/>
    <w:uiPriority w:val="19"/>
    <w:qFormat/>
    <w:rsid w:val="00235321"/>
    <w:rPr>
      <w:i/>
      <w:iCs/>
      <w:color w:val="808080"/>
    </w:rPr>
  </w:style>
  <w:style w:type="table" w:styleId="afb">
    <w:name w:val="Table Grid"/>
    <w:basedOn w:val="a1"/>
    <w:uiPriority w:val="39"/>
    <w:rsid w:val="00FF4C5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uiPriority w:val="22"/>
    <w:qFormat/>
    <w:rsid w:val="00570994"/>
    <w:rPr>
      <w:b/>
      <w:bCs/>
    </w:rPr>
  </w:style>
  <w:style w:type="numbering" w:customStyle="1" w:styleId="1">
    <w:name w:val="無清單1"/>
    <w:next w:val="a2"/>
    <w:uiPriority w:val="99"/>
    <w:semiHidden/>
    <w:unhideWhenUsed/>
    <w:rsid w:val="00EE46AE"/>
  </w:style>
  <w:style w:type="table" w:customStyle="1" w:styleId="10">
    <w:name w:val="表格格線1"/>
    <w:basedOn w:val="a1"/>
    <w:next w:val="afb"/>
    <w:uiPriority w:val="59"/>
    <w:rsid w:val="00EE46A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List Paragraph"/>
    <w:basedOn w:val="a"/>
    <w:uiPriority w:val="34"/>
    <w:qFormat/>
    <w:rsid w:val="00EE46AE"/>
    <w:pPr>
      <w:ind w:leftChars="200" w:left="480"/>
    </w:pPr>
    <w:rPr>
      <w:rFonts w:ascii="Calibri" w:hAnsi="Calibri"/>
      <w:szCs w:val="22"/>
    </w:rPr>
  </w:style>
  <w:style w:type="paragraph" w:styleId="20">
    <w:name w:val="Body Text 2"/>
    <w:basedOn w:val="a"/>
    <w:link w:val="21"/>
    <w:rsid w:val="00EE46AE"/>
    <w:pPr>
      <w:autoSpaceDE w:val="0"/>
      <w:autoSpaceDN w:val="0"/>
      <w:adjustRightInd w:val="0"/>
    </w:pPr>
    <w:rPr>
      <w:rFonts w:eastAsia="SimSun"/>
      <w:szCs w:val="22"/>
      <w:lang w:eastAsia="zh-CN"/>
    </w:rPr>
  </w:style>
  <w:style w:type="character" w:customStyle="1" w:styleId="21">
    <w:name w:val="本文 2 字元"/>
    <w:link w:val="20"/>
    <w:rsid w:val="00EE46AE"/>
    <w:rPr>
      <w:rFonts w:eastAsia="SimSun"/>
      <w:kern w:val="2"/>
      <w:sz w:val="24"/>
      <w:szCs w:val="22"/>
      <w:lang w:eastAsia="zh-CN"/>
    </w:rPr>
  </w:style>
  <w:style w:type="paragraph" w:customStyle="1" w:styleId="Compact">
    <w:name w:val="Compact"/>
    <w:basedOn w:val="ad"/>
    <w:qFormat/>
    <w:rsid w:val="00EE46AE"/>
    <w:pPr>
      <w:widowControl/>
      <w:spacing w:before="36" w:after="36" w:line="240" w:lineRule="auto"/>
      <w:ind w:right="0"/>
      <w:jc w:val="left"/>
    </w:pPr>
    <w:rPr>
      <w:rFonts w:ascii="Calibri" w:eastAsia="新細明體" w:hAnsi="Calibri"/>
      <w:b w:val="0"/>
      <w:color w:val="auto"/>
      <w:kern w:val="0"/>
      <w:sz w:val="24"/>
      <w:szCs w:val="24"/>
      <w:lang w:eastAsia="en-US"/>
    </w:rPr>
  </w:style>
  <w:style w:type="table" w:customStyle="1" w:styleId="22">
    <w:name w:val="表格格線2"/>
    <w:basedOn w:val="a1"/>
    <w:next w:val="afb"/>
    <w:uiPriority w:val="39"/>
    <w:rsid w:val="00F93CD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semiHidden/>
    <w:unhideWhenUsed/>
    <w:rsid w:val="003C62CE"/>
    <w:pPr>
      <w:widowControl/>
      <w:spacing w:before="100" w:beforeAutospacing="1" w:after="100" w:afterAutospacing="1"/>
    </w:pPr>
    <w:rPr>
      <w:rFonts w:ascii="新細明體" w:hAnsi="新細明體" w:cs="新細明體"/>
      <w:kern w:val="0"/>
    </w:rPr>
  </w:style>
  <w:style w:type="table" w:customStyle="1" w:styleId="3">
    <w:name w:val="表格格線3"/>
    <w:basedOn w:val="a1"/>
    <w:next w:val="afb"/>
    <w:uiPriority w:val="39"/>
    <w:rsid w:val="00880B33"/>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26279">
      <w:bodyDiv w:val="1"/>
      <w:marLeft w:val="0"/>
      <w:marRight w:val="0"/>
      <w:marTop w:val="0"/>
      <w:marBottom w:val="0"/>
      <w:divBdr>
        <w:top w:val="none" w:sz="0" w:space="0" w:color="auto"/>
        <w:left w:val="none" w:sz="0" w:space="0" w:color="auto"/>
        <w:bottom w:val="none" w:sz="0" w:space="0" w:color="auto"/>
        <w:right w:val="none" w:sz="0" w:space="0" w:color="auto"/>
      </w:divBdr>
    </w:div>
    <w:div w:id="1614823473">
      <w:bodyDiv w:val="1"/>
      <w:marLeft w:val="0"/>
      <w:marRight w:val="0"/>
      <w:marTop w:val="0"/>
      <w:marBottom w:val="0"/>
      <w:divBdr>
        <w:top w:val="none" w:sz="0" w:space="0" w:color="auto"/>
        <w:left w:val="none" w:sz="0" w:space="0" w:color="auto"/>
        <w:bottom w:val="none" w:sz="0" w:space="0" w:color="auto"/>
        <w:right w:val="none" w:sz="0" w:space="0" w:color="auto"/>
      </w:divBdr>
    </w:div>
    <w:div w:id="1644119832">
      <w:bodyDiv w:val="1"/>
      <w:marLeft w:val="0"/>
      <w:marRight w:val="0"/>
      <w:marTop w:val="0"/>
      <w:marBottom w:val="0"/>
      <w:divBdr>
        <w:top w:val="none" w:sz="0" w:space="0" w:color="auto"/>
        <w:left w:val="none" w:sz="0" w:space="0" w:color="auto"/>
        <w:bottom w:val="none" w:sz="0" w:space="0" w:color="auto"/>
        <w:right w:val="none" w:sz="0" w:space="0" w:color="auto"/>
      </w:divBdr>
    </w:div>
    <w:div w:id="166227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CCBB6-1E49-4DA4-8894-64A291A3A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2851</Words>
  <Characters>16252</Characters>
  <Application>Microsoft Office Word</Application>
  <DocSecurity>0</DocSecurity>
  <Lines>135</Lines>
  <Paragraphs>38</Paragraphs>
  <ScaleCrop>false</ScaleCrop>
  <Company>Earth</Company>
  <LinksUpToDate>false</LinksUpToDate>
  <CharactersWithSpaces>19065</CharactersWithSpaces>
  <SharedDoc>false</SharedDoc>
  <HLinks>
    <vt:vector size="72" baseType="variant">
      <vt:variant>
        <vt:i4>4390923</vt:i4>
      </vt:variant>
      <vt:variant>
        <vt:i4>33</vt:i4>
      </vt:variant>
      <vt:variant>
        <vt:i4>0</vt:i4>
      </vt:variant>
      <vt:variant>
        <vt:i4>5</vt:i4>
      </vt:variant>
      <vt:variant>
        <vt:lpwstr/>
      </vt:variant>
      <vt:variant>
        <vt:lpwstr>_ENREF_20</vt:lpwstr>
      </vt:variant>
      <vt:variant>
        <vt:i4>4390923</vt:i4>
      </vt:variant>
      <vt:variant>
        <vt:i4>30</vt:i4>
      </vt:variant>
      <vt:variant>
        <vt:i4>0</vt:i4>
      </vt:variant>
      <vt:variant>
        <vt:i4>5</vt:i4>
      </vt:variant>
      <vt:variant>
        <vt:lpwstr/>
      </vt:variant>
      <vt:variant>
        <vt:lpwstr>_ENREF_20</vt:lpwstr>
      </vt:variant>
      <vt:variant>
        <vt:i4>4390923</vt:i4>
      </vt:variant>
      <vt:variant>
        <vt:i4>27</vt:i4>
      </vt:variant>
      <vt:variant>
        <vt:i4>0</vt:i4>
      </vt:variant>
      <vt:variant>
        <vt:i4>5</vt:i4>
      </vt:variant>
      <vt:variant>
        <vt:lpwstr/>
      </vt:variant>
      <vt:variant>
        <vt:lpwstr>_ENREF_2</vt:lpwstr>
      </vt:variant>
      <vt:variant>
        <vt:i4>4325387</vt:i4>
      </vt:variant>
      <vt:variant>
        <vt:i4>24</vt:i4>
      </vt:variant>
      <vt:variant>
        <vt:i4>0</vt:i4>
      </vt:variant>
      <vt:variant>
        <vt:i4>5</vt:i4>
      </vt:variant>
      <vt:variant>
        <vt:lpwstr/>
      </vt:variant>
      <vt:variant>
        <vt:lpwstr>_ENREF_37</vt:lpwstr>
      </vt:variant>
      <vt:variant>
        <vt:i4>4390923</vt:i4>
      </vt:variant>
      <vt:variant>
        <vt:i4>21</vt:i4>
      </vt:variant>
      <vt:variant>
        <vt:i4>0</vt:i4>
      </vt:variant>
      <vt:variant>
        <vt:i4>5</vt:i4>
      </vt:variant>
      <vt:variant>
        <vt:lpwstr/>
      </vt:variant>
      <vt:variant>
        <vt:lpwstr>_ENREF_25</vt:lpwstr>
      </vt:variant>
      <vt:variant>
        <vt:i4>4390923</vt:i4>
      </vt:variant>
      <vt:variant>
        <vt:i4>18</vt:i4>
      </vt:variant>
      <vt:variant>
        <vt:i4>0</vt:i4>
      </vt:variant>
      <vt:variant>
        <vt:i4>5</vt:i4>
      </vt:variant>
      <vt:variant>
        <vt:lpwstr/>
      </vt:variant>
      <vt:variant>
        <vt:lpwstr>_ENREF_25</vt:lpwstr>
      </vt:variant>
      <vt:variant>
        <vt:i4>4390923</vt:i4>
      </vt:variant>
      <vt:variant>
        <vt:i4>15</vt:i4>
      </vt:variant>
      <vt:variant>
        <vt:i4>0</vt:i4>
      </vt:variant>
      <vt:variant>
        <vt:i4>5</vt:i4>
      </vt:variant>
      <vt:variant>
        <vt:lpwstr/>
      </vt:variant>
      <vt:variant>
        <vt:lpwstr>_ENREF_21</vt:lpwstr>
      </vt:variant>
      <vt:variant>
        <vt:i4>4194315</vt:i4>
      </vt:variant>
      <vt:variant>
        <vt:i4>12</vt:i4>
      </vt:variant>
      <vt:variant>
        <vt:i4>0</vt:i4>
      </vt:variant>
      <vt:variant>
        <vt:i4>5</vt:i4>
      </vt:variant>
      <vt:variant>
        <vt:lpwstr/>
      </vt:variant>
      <vt:variant>
        <vt:lpwstr>_ENREF_17</vt:lpwstr>
      </vt:variant>
      <vt:variant>
        <vt:i4>4194315</vt:i4>
      </vt:variant>
      <vt:variant>
        <vt:i4>9</vt:i4>
      </vt:variant>
      <vt:variant>
        <vt:i4>0</vt:i4>
      </vt:variant>
      <vt:variant>
        <vt:i4>5</vt:i4>
      </vt:variant>
      <vt:variant>
        <vt:lpwstr/>
      </vt:variant>
      <vt:variant>
        <vt:lpwstr>_ENREF_12</vt:lpwstr>
      </vt:variant>
      <vt:variant>
        <vt:i4>4718603</vt:i4>
      </vt:variant>
      <vt:variant>
        <vt:i4>6</vt:i4>
      </vt:variant>
      <vt:variant>
        <vt:i4>0</vt:i4>
      </vt:variant>
      <vt:variant>
        <vt:i4>5</vt:i4>
      </vt:variant>
      <vt:variant>
        <vt:lpwstr/>
      </vt:variant>
      <vt:variant>
        <vt:lpwstr>_ENREF_9</vt:lpwstr>
      </vt:variant>
      <vt:variant>
        <vt:i4>4587531</vt:i4>
      </vt:variant>
      <vt:variant>
        <vt:i4>3</vt:i4>
      </vt:variant>
      <vt:variant>
        <vt:i4>0</vt:i4>
      </vt:variant>
      <vt:variant>
        <vt:i4>5</vt:i4>
      </vt:variant>
      <vt:variant>
        <vt:lpwstr/>
      </vt:variant>
      <vt:variant>
        <vt:lpwstr>_ENREF_7</vt:lpwstr>
      </vt:variant>
      <vt:variant>
        <vt:i4>4325387</vt:i4>
      </vt:variant>
      <vt:variant>
        <vt:i4>0</vt:i4>
      </vt:variant>
      <vt:variant>
        <vt:i4>0</vt:i4>
      </vt:variant>
      <vt:variant>
        <vt:i4>5</vt:i4>
      </vt:variant>
      <vt:variant>
        <vt:lpwstr/>
      </vt:variant>
      <vt:variant>
        <vt:lpwstr>_ENREF_3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Prospective comparison of ulcer recurrence between uremic and non-uremic patients with peptic ulcer after eradication of Helic</dc:title>
  <dc:subject/>
  <dc:creator>USER</dc:creator>
  <cp:keywords/>
  <cp:lastModifiedBy>Holden Hsu</cp:lastModifiedBy>
  <cp:revision>3</cp:revision>
  <cp:lastPrinted>2009-01-05T23:24:00Z</cp:lastPrinted>
  <dcterms:created xsi:type="dcterms:W3CDTF">2021-08-22T11:28:00Z</dcterms:created>
  <dcterms:modified xsi:type="dcterms:W3CDTF">2021-08-22T12:07:00Z</dcterms:modified>
</cp:coreProperties>
</file>