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03092" w14:textId="77777777" w:rsidR="00F552D7" w:rsidRDefault="00F552D7">
      <w:pPr>
        <w:spacing w:line="520" w:lineRule="exact"/>
        <w:jc w:val="center"/>
        <w:rPr>
          <w:rFonts w:eastAsia="標楷體"/>
          <w:b/>
          <w:spacing w:val="34"/>
          <w:sz w:val="38"/>
        </w:rPr>
      </w:pPr>
      <w:bookmarkStart w:id="0" w:name="_GoBack"/>
      <w:bookmarkEnd w:id="0"/>
      <w:r>
        <w:rPr>
          <w:rFonts w:eastAsia="標楷體" w:hint="eastAsia"/>
          <w:b/>
          <w:spacing w:val="34"/>
          <w:sz w:val="38"/>
        </w:rPr>
        <w:t>財團法人明日醫學基金會研究計畫申請書</w:t>
      </w:r>
    </w:p>
    <w:p w14:paraId="15B42509" w14:textId="77777777" w:rsidR="00F552D7"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14:paraId="354A389C" w14:textId="77777777" w:rsidTr="00B07BAC">
        <w:trPr>
          <w:cantSplit/>
        </w:trPr>
        <w:tc>
          <w:tcPr>
            <w:tcW w:w="1814" w:type="dxa"/>
            <w:vMerge w:val="restart"/>
          </w:tcPr>
          <w:p w14:paraId="3AFD9580" w14:textId="77777777" w:rsidR="00F552D7" w:rsidRDefault="00F552D7">
            <w:pPr>
              <w:spacing w:line="360" w:lineRule="exact"/>
              <w:ind w:firstLine="119"/>
              <w:jc w:val="both"/>
              <w:rPr>
                <w:rFonts w:eastAsia="標楷體"/>
                <w:sz w:val="26"/>
              </w:rPr>
            </w:pPr>
          </w:p>
          <w:p w14:paraId="2D5D1110" w14:textId="77777777" w:rsidR="00F552D7" w:rsidRDefault="00F552D7">
            <w:pPr>
              <w:spacing w:line="360" w:lineRule="exact"/>
              <w:ind w:firstLine="119"/>
              <w:jc w:val="both"/>
              <w:rPr>
                <w:rFonts w:eastAsia="標楷體"/>
                <w:sz w:val="26"/>
              </w:rPr>
            </w:pPr>
            <w:r>
              <w:rPr>
                <w:rFonts w:eastAsia="標楷體" w:hint="eastAsia"/>
                <w:sz w:val="26"/>
              </w:rPr>
              <w:t>計畫名稱</w:t>
            </w:r>
          </w:p>
        </w:tc>
        <w:tc>
          <w:tcPr>
            <w:tcW w:w="7712" w:type="dxa"/>
            <w:gridSpan w:val="2"/>
          </w:tcPr>
          <w:p w14:paraId="66646A2D" w14:textId="1CC6223B" w:rsidR="00F552D7" w:rsidRPr="00D845D0" w:rsidRDefault="00F552D7" w:rsidP="0096010D">
            <w:pPr>
              <w:jc w:val="both"/>
              <w:rPr>
                <w:rFonts w:eastAsia="標楷體"/>
                <w:sz w:val="26"/>
              </w:rPr>
            </w:pPr>
            <w:r w:rsidRPr="00D845D0">
              <w:rPr>
                <w:rFonts w:eastAsia="標楷體" w:hAnsi="標楷體"/>
                <w:sz w:val="26"/>
              </w:rPr>
              <w:t>（中文）</w:t>
            </w:r>
            <w:r w:rsidR="006F3A64" w:rsidRPr="006F3A64">
              <w:rPr>
                <w:rFonts w:eastAsia="標楷體" w:hAnsi="標楷體" w:hint="eastAsia"/>
                <w:sz w:val="26"/>
              </w:rPr>
              <w:t>慢性</w:t>
            </w:r>
            <w:r w:rsidR="006F3A64" w:rsidRPr="006F3A64">
              <w:rPr>
                <w:rFonts w:eastAsia="標楷體" w:hAnsi="標楷體" w:hint="eastAsia"/>
                <w:sz w:val="26"/>
              </w:rPr>
              <w:t>B</w:t>
            </w:r>
            <w:r w:rsidR="006F3A64" w:rsidRPr="006F3A64">
              <w:rPr>
                <w:rFonts w:eastAsia="標楷體" w:hAnsi="標楷體" w:hint="eastAsia"/>
                <w:sz w:val="26"/>
              </w:rPr>
              <w:t>型肝炎抗病毒治療</w:t>
            </w:r>
            <w:r w:rsidR="006F3A64">
              <w:rPr>
                <w:rFonts w:eastAsia="標楷體" w:hAnsi="標楷體" w:hint="eastAsia"/>
                <w:sz w:val="26"/>
              </w:rPr>
              <w:t>使用不足</w:t>
            </w:r>
            <w:r w:rsidR="006F3A64" w:rsidRPr="006F3A64">
              <w:rPr>
                <w:rFonts w:eastAsia="標楷體" w:hAnsi="標楷體" w:hint="eastAsia"/>
                <w:sz w:val="26"/>
              </w:rPr>
              <w:t>與肝臟相關</w:t>
            </w:r>
            <w:proofErr w:type="gramStart"/>
            <w:r w:rsidR="006F3A64">
              <w:rPr>
                <w:rFonts w:eastAsia="標楷體" w:hAnsi="標楷體" w:hint="eastAsia"/>
                <w:sz w:val="26"/>
              </w:rPr>
              <w:t>罹</w:t>
            </w:r>
            <w:proofErr w:type="gramEnd"/>
            <w:r w:rsidR="006F3A64" w:rsidRPr="006F3A64">
              <w:rPr>
                <w:rFonts w:eastAsia="標楷體" w:hAnsi="標楷體" w:hint="eastAsia"/>
                <w:sz w:val="26"/>
              </w:rPr>
              <w:t>病與死亡風險的關聯</w:t>
            </w:r>
            <w:r w:rsidR="006F3A64">
              <w:rPr>
                <w:rFonts w:eastAsia="標楷體" w:hAnsi="標楷體" w:hint="eastAsia"/>
                <w:sz w:val="26"/>
              </w:rPr>
              <w:t>性</w:t>
            </w:r>
          </w:p>
        </w:tc>
      </w:tr>
      <w:tr w:rsidR="00F552D7" w14:paraId="55AC70EF" w14:textId="77777777" w:rsidTr="00B07BAC">
        <w:trPr>
          <w:cantSplit/>
        </w:trPr>
        <w:tc>
          <w:tcPr>
            <w:tcW w:w="1814" w:type="dxa"/>
            <w:vMerge/>
          </w:tcPr>
          <w:p w14:paraId="7B6A809A" w14:textId="77777777" w:rsidR="00F552D7" w:rsidRDefault="00F552D7">
            <w:pPr>
              <w:spacing w:line="520" w:lineRule="exact"/>
              <w:ind w:firstLine="120"/>
              <w:jc w:val="both"/>
              <w:rPr>
                <w:rFonts w:eastAsia="標楷體"/>
                <w:sz w:val="26"/>
              </w:rPr>
            </w:pPr>
          </w:p>
        </w:tc>
        <w:tc>
          <w:tcPr>
            <w:tcW w:w="7712" w:type="dxa"/>
            <w:gridSpan w:val="2"/>
          </w:tcPr>
          <w:p w14:paraId="3FD47C2C" w14:textId="184FC346" w:rsidR="00F552D7" w:rsidRPr="00D845D0" w:rsidRDefault="00F552D7" w:rsidP="00624B7B">
            <w:pPr>
              <w:tabs>
                <w:tab w:val="left" w:pos="226"/>
              </w:tabs>
              <w:spacing w:line="300" w:lineRule="exact"/>
              <w:ind w:left="169" w:right="127" w:hangingChars="65" w:hanging="169"/>
              <w:jc w:val="both"/>
              <w:rPr>
                <w:rFonts w:eastAsia="標楷體"/>
                <w:sz w:val="26"/>
              </w:rPr>
            </w:pPr>
            <w:r w:rsidRPr="00D845D0">
              <w:rPr>
                <w:rFonts w:eastAsia="標楷體" w:hAnsi="標楷體"/>
                <w:sz w:val="26"/>
              </w:rPr>
              <w:t>（英文）</w:t>
            </w:r>
            <w:r w:rsidR="006F3A64">
              <w:rPr>
                <w:rFonts w:eastAsia="標楷體" w:hAnsi="標楷體" w:hint="eastAsia"/>
                <w:sz w:val="26"/>
              </w:rPr>
              <w:t>A</w:t>
            </w:r>
            <w:r w:rsidR="006F3A64">
              <w:rPr>
                <w:rFonts w:eastAsia="標楷體" w:hAnsi="標楷體"/>
                <w:sz w:val="26"/>
              </w:rPr>
              <w:t>ssociation between u</w:t>
            </w:r>
            <w:r w:rsidR="006F3A64" w:rsidRPr="006F3A64">
              <w:rPr>
                <w:rFonts w:eastAsia="標楷體" w:hAnsi="標楷體"/>
                <w:sz w:val="26"/>
              </w:rPr>
              <w:t>nderutilization of antiviral</w:t>
            </w:r>
            <w:r w:rsidR="006F3A64">
              <w:rPr>
                <w:rFonts w:eastAsia="標楷體" w:hAnsi="標楷體"/>
                <w:sz w:val="26"/>
              </w:rPr>
              <w:t xml:space="preserve"> treatment</w:t>
            </w:r>
            <w:r w:rsidR="006F3A64" w:rsidRPr="006F3A64">
              <w:rPr>
                <w:rFonts w:eastAsia="標楷體" w:hAnsi="標楷體"/>
                <w:sz w:val="26"/>
              </w:rPr>
              <w:t xml:space="preserve"> for chronic hepatitis B </w:t>
            </w:r>
            <w:r w:rsidR="006F3A64">
              <w:rPr>
                <w:rFonts w:eastAsia="標楷體" w:hAnsi="標楷體"/>
                <w:sz w:val="26"/>
              </w:rPr>
              <w:t>and</w:t>
            </w:r>
            <w:r w:rsidR="006F3A64" w:rsidRPr="006F3A64">
              <w:rPr>
                <w:rFonts w:eastAsia="標楷體" w:hAnsi="標楷體"/>
                <w:sz w:val="26"/>
              </w:rPr>
              <w:t xml:space="preserve"> </w:t>
            </w:r>
            <w:r w:rsidR="006F3A64">
              <w:rPr>
                <w:rFonts w:eastAsia="標楷體" w:hAnsi="標楷體"/>
                <w:sz w:val="26"/>
              </w:rPr>
              <w:t xml:space="preserve">risks of </w:t>
            </w:r>
            <w:r w:rsidR="006F3A64" w:rsidRPr="006F3A64">
              <w:rPr>
                <w:rFonts w:eastAsia="標楷體" w:hAnsi="標楷體"/>
                <w:sz w:val="26"/>
              </w:rPr>
              <w:t>liver-related mortality and morbidity</w:t>
            </w:r>
          </w:p>
        </w:tc>
      </w:tr>
      <w:tr w:rsidR="00F552D7" w14:paraId="7096397D" w14:textId="77777777" w:rsidTr="00B07BAC">
        <w:tc>
          <w:tcPr>
            <w:tcW w:w="1814" w:type="dxa"/>
          </w:tcPr>
          <w:p w14:paraId="53756F91" w14:textId="77777777" w:rsidR="00F552D7" w:rsidRDefault="00F552D7">
            <w:pPr>
              <w:spacing w:line="600" w:lineRule="exact"/>
              <w:ind w:firstLine="120"/>
              <w:jc w:val="both"/>
              <w:rPr>
                <w:rFonts w:eastAsia="標楷體"/>
                <w:sz w:val="26"/>
              </w:rPr>
            </w:pPr>
            <w:r>
              <w:rPr>
                <w:rFonts w:eastAsia="標楷體" w:hint="eastAsia"/>
                <w:sz w:val="26"/>
              </w:rPr>
              <w:t>計畫類別</w:t>
            </w:r>
          </w:p>
        </w:tc>
        <w:tc>
          <w:tcPr>
            <w:tcW w:w="3969" w:type="dxa"/>
          </w:tcPr>
          <w:p w14:paraId="5B45F959" w14:textId="77777777" w:rsidR="00F552D7" w:rsidRDefault="00F552D7">
            <w:pPr>
              <w:spacing w:line="600" w:lineRule="exact"/>
              <w:jc w:val="both"/>
              <w:rPr>
                <w:rFonts w:eastAsia="標楷體"/>
                <w:sz w:val="26"/>
              </w:rPr>
            </w:pPr>
            <w:r>
              <w:rPr>
                <w:rFonts w:eastAsia="標楷體" w:hint="eastAsia"/>
                <w:sz w:val="26"/>
              </w:rPr>
              <w:sym w:font="Wingdings" w:char="F0FE"/>
            </w:r>
            <w:r>
              <w:rPr>
                <w:rFonts w:eastAsia="標楷體" w:hint="eastAsia"/>
                <w:sz w:val="26"/>
              </w:rPr>
              <w:t>個別型</w:t>
            </w:r>
          </w:p>
        </w:tc>
        <w:tc>
          <w:tcPr>
            <w:tcW w:w="3743" w:type="dxa"/>
          </w:tcPr>
          <w:p w14:paraId="267BA5D9" w14:textId="77777777" w:rsidR="00F552D7" w:rsidRDefault="00F552D7">
            <w:pPr>
              <w:spacing w:line="600" w:lineRule="exact"/>
              <w:ind w:right="-1566"/>
              <w:jc w:val="both"/>
              <w:rPr>
                <w:rFonts w:eastAsia="標楷體"/>
                <w:sz w:val="26"/>
              </w:rPr>
            </w:pPr>
            <w:r>
              <w:rPr>
                <w:rFonts w:eastAsia="標楷體" w:hint="eastAsia"/>
                <w:sz w:val="26"/>
              </w:rPr>
              <w:sym w:font="Wingdings" w:char="F0A8"/>
            </w:r>
            <w:r>
              <w:rPr>
                <w:rFonts w:eastAsia="標楷體" w:hint="eastAsia"/>
                <w:sz w:val="26"/>
              </w:rPr>
              <w:t>整合型</w:t>
            </w:r>
          </w:p>
        </w:tc>
      </w:tr>
      <w:tr w:rsidR="00F552D7" w14:paraId="61E82DAE" w14:textId="77777777" w:rsidTr="00B07BAC">
        <w:trPr>
          <w:cantSplit/>
        </w:trPr>
        <w:tc>
          <w:tcPr>
            <w:tcW w:w="1814" w:type="dxa"/>
          </w:tcPr>
          <w:p w14:paraId="4E287170" w14:textId="77777777" w:rsidR="00F552D7" w:rsidRDefault="00F552D7">
            <w:pPr>
              <w:spacing w:line="600" w:lineRule="exact"/>
              <w:ind w:firstLine="120"/>
              <w:jc w:val="both"/>
              <w:rPr>
                <w:rFonts w:eastAsia="標楷體"/>
                <w:sz w:val="26"/>
              </w:rPr>
            </w:pPr>
            <w:r>
              <w:rPr>
                <w:rFonts w:eastAsia="標楷體" w:hint="eastAsia"/>
                <w:sz w:val="26"/>
              </w:rPr>
              <w:t>計畫歸屬</w:t>
            </w:r>
          </w:p>
        </w:tc>
        <w:tc>
          <w:tcPr>
            <w:tcW w:w="7712" w:type="dxa"/>
            <w:gridSpan w:val="2"/>
          </w:tcPr>
          <w:p w14:paraId="0094A770" w14:textId="77777777" w:rsidR="00F552D7" w:rsidRDefault="00B07BAC">
            <w:pPr>
              <w:spacing w:line="600" w:lineRule="exact"/>
              <w:jc w:val="both"/>
              <w:rPr>
                <w:rFonts w:eastAsia="標楷體"/>
                <w:spacing w:val="-2"/>
                <w:sz w:val="26"/>
              </w:rPr>
            </w:pPr>
            <w:r w:rsidRPr="00B07BAC">
              <w:rPr>
                <w:rFonts w:eastAsia="標楷體" w:hint="eastAsia"/>
                <w:spacing w:val="-2"/>
                <w:sz w:val="26"/>
              </w:rPr>
              <w:sym w:font="Wingdings" w:char="F0A8"/>
            </w:r>
            <w:r w:rsidR="00F552D7">
              <w:rPr>
                <w:rFonts w:eastAsia="標楷體" w:hint="eastAsia"/>
                <w:spacing w:val="-2"/>
                <w:sz w:val="26"/>
              </w:rPr>
              <w:t>基礎醫學</w:t>
            </w:r>
            <w:r w:rsidR="00F552D7">
              <w:rPr>
                <w:rFonts w:eastAsia="標楷體" w:hint="eastAsia"/>
                <w:spacing w:val="-2"/>
                <w:sz w:val="26"/>
              </w:rPr>
              <w:sym w:font="Wingdings" w:char="F0A8"/>
            </w:r>
            <w:r w:rsidR="00F552D7">
              <w:rPr>
                <w:rFonts w:eastAsia="標楷體" w:hint="eastAsia"/>
                <w:spacing w:val="-2"/>
                <w:sz w:val="26"/>
              </w:rPr>
              <w:t>生物醫學</w:t>
            </w:r>
            <w:r w:rsidRPr="00B07BAC">
              <w:rPr>
                <w:rFonts w:eastAsia="標楷體" w:hint="eastAsia"/>
                <w:spacing w:val="-2"/>
                <w:sz w:val="26"/>
              </w:rPr>
              <w:sym w:font="Wingdings" w:char="F0FE"/>
            </w:r>
            <w:r w:rsidR="00F552D7">
              <w:rPr>
                <w:rFonts w:eastAsia="標楷體" w:hint="eastAsia"/>
                <w:spacing w:val="-2"/>
                <w:sz w:val="26"/>
              </w:rPr>
              <w:t>臨床醫學</w:t>
            </w:r>
            <w:r w:rsidR="00F552D7">
              <w:rPr>
                <w:rFonts w:eastAsia="標楷體" w:hint="eastAsia"/>
                <w:spacing w:val="-2"/>
                <w:sz w:val="26"/>
              </w:rPr>
              <w:sym w:font="Wingdings" w:char="F0A8"/>
            </w:r>
            <w:r w:rsidR="00F552D7">
              <w:rPr>
                <w:rFonts w:eastAsia="標楷體" w:hint="eastAsia"/>
                <w:spacing w:val="-2"/>
                <w:sz w:val="26"/>
              </w:rPr>
              <w:t>資訊系統</w:t>
            </w:r>
            <w:r w:rsidR="00F552D7">
              <w:rPr>
                <w:rFonts w:eastAsia="標楷體" w:hint="eastAsia"/>
                <w:spacing w:val="-2"/>
                <w:sz w:val="26"/>
              </w:rPr>
              <w:sym w:font="Wingdings" w:char="F0A8"/>
            </w:r>
            <w:r w:rsidR="00F552D7">
              <w:rPr>
                <w:rFonts w:eastAsia="標楷體" w:hint="eastAsia"/>
                <w:spacing w:val="-2"/>
                <w:sz w:val="26"/>
              </w:rPr>
              <w:t>醫院管理</w:t>
            </w:r>
            <w:r w:rsidR="00F552D7">
              <w:rPr>
                <w:rFonts w:eastAsia="標楷體" w:hint="eastAsia"/>
                <w:spacing w:val="-2"/>
                <w:sz w:val="26"/>
              </w:rPr>
              <w:sym w:font="Wingdings" w:char="F0A8"/>
            </w:r>
            <w:r w:rsidR="00F552D7">
              <w:rPr>
                <w:rFonts w:eastAsia="標楷體" w:hint="eastAsia"/>
                <w:spacing w:val="-2"/>
                <w:sz w:val="26"/>
              </w:rPr>
              <w:t>整合性醫學研究</w:t>
            </w:r>
          </w:p>
        </w:tc>
      </w:tr>
      <w:tr w:rsidR="00F552D7" w14:paraId="7653E01C" w14:textId="77777777" w:rsidTr="00B07BAC">
        <w:trPr>
          <w:cantSplit/>
        </w:trPr>
        <w:tc>
          <w:tcPr>
            <w:tcW w:w="1814" w:type="dxa"/>
            <w:vMerge w:val="restart"/>
          </w:tcPr>
          <w:p w14:paraId="232D5CAE" w14:textId="77777777" w:rsidR="00F552D7" w:rsidRDefault="00F552D7">
            <w:pPr>
              <w:spacing w:line="600" w:lineRule="exact"/>
              <w:ind w:firstLine="120"/>
              <w:jc w:val="both"/>
              <w:rPr>
                <w:rFonts w:eastAsia="標楷體"/>
                <w:sz w:val="26"/>
              </w:rPr>
            </w:pPr>
            <w:r>
              <w:rPr>
                <w:rFonts w:eastAsia="標楷體" w:hint="eastAsia"/>
                <w:sz w:val="26"/>
              </w:rPr>
              <w:t>計畫主持人</w:t>
            </w:r>
          </w:p>
        </w:tc>
        <w:tc>
          <w:tcPr>
            <w:tcW w:w="3969" w:type="dxa"/>
          </w:tcPr>
          <w:p w14:paraId="1E4956CE" w14:textId="77777777" w:rsidR="00F552D7" w:rsidRDefault="00F552D7">
            <w:pPr>
              <w:spacing w:beforeLines="50" w:before="180" w:afterLines="30" w:after="108" w:line="300" w:lineRule="exact"/>
              <w:rPr>
                <w:rFonts w:eastAsia="標楷體"/>
                <w:color w:val="000000"/>
                <w:sz w:val="32"/>
              </w:rPr>
            </w:pPr>
            <w:r>
              <w:rPr>
                <w:rFonts w:eastAsia="標楷體" w:hint="eastAsia"/>
                <w:sz w:val="26"/>
              </w:rPr>
              <w:t>姓名：</w:t>
            </w:r>
            <w:r>
              <w:rPr>
                <w:rFonts w:eastAsia="標楷體" w:hint="eastAsia"/>
                <w:color w:val="000000"/>
                <w:sz w:val="32"/>
              </w:rPr>
              <w:t>許耀峻</w:t>
            </w:r>
          </w:p>
          <w:p w14:paraId="7E93DD45" w14:textId="77777777" w:rsidR="00F552D7" w:rsidRDefault="00F552D7">
            <w:pPr>
              <w:spacing w:beforeLines="50" w:before="180" w:afterLines="30" w:after="108" w:line="300" w:lineRule="exact"/>
              <w:ind w:leftChars="-5" w:left="310" w:hangingChars="115" w:hanging="322"/>
              <w:rPr>
                <w:rFonts w:eastAsia="標楷體"/>
                <w:color w:val="000000"/>
                <w:sz w:val="28"/>
              </w:rPr>
            </w:pPr>
            <w:r>
              <w:rPr>
                <w:rFonts w:eastAsia="標楷體" w:hint="eastAsia"/>
                <w:color w:val="000000"/>
                <w:sz w:val="28"/>
              </w:rPr>
              <w:t>Yao-Chun Hsu</w:t>
            </w:r>
          </w:p>
          <w:p w14:paraId="099CA85D" w14:textId="77777777" w:rsidR="00F552D7" w:rsidRDefault="00F552D7">
            <w:pPr>
              <w:spacing w:line="600" w:lineRule="exact"/>
              <w:jc w:val="both"/>
              <w:rPr>
                <w:rFonts w:eastAsia="標楷體"/>
                <w:sz w:val="26"/>
              </w:rPr>
            </w:pPr>
          </w:p>
        </w:tc>
        <w:tc>
          <w:tcPr>
            <w:tcW w:w="3743" w:type="dxa"/>
          </w:tcPr>
          <w:p w14:paraId="59F3BAD8" w14:textId="77777777" w:rsidR="00F552D7" w:rsidRDefault="00F552D7">
            <w:pPr>
              <w:spacing w:line="600" w:lineRule="exact"/>
              <w:ind w:right="-1566"/>
              <w:jc w:val="both"/>
              <w:rPr>
                <w:rFonts w:eastAsia="標楷體"/>
                <w:sz w:val="26"/>
              </w:rPr>
            </w:pPr>
            <w:r>
              <w:rPr>
                <w:rFonts w:eastAsia="標楷體" w:hint="eastAsia"/>
                <w:sz w:val="26"/>
              </w:rPr>
              <w:t>機關：</w:t>
            </w:r>
            <w:r w:rsidR="0096010D">
              <w:rPr>
                <w:rFonts w:eastAsia="標楷體" w:hint="eastAsia"/>
                <w:b/>
                <w:sz w:val="28"/>
              </w:rPr>
              <w:t>義</w:t>
            </w:r>
            <w:r w:rsidR="00B07BAC">
              <w:rPr>
                <w:rFonts w:eastAsia="標楷體" w:hint="eastAsia"/>
                <w:b/>
                <w:sz w:val="28"/>
              </w:rPr>
              <w:t>大醫院</w:t>
            </w:r>
          </w:p>
        </w:tc>
      </w:tr>
      <w:tr w:rsidR="00F552D7" w14:paraId="419D7C76" w14:textId="77777777" w:rsidTr="00B07BAC">
        <w:trPr>
          <w:cantSplit/>
        </w:trPr>
        <w:tc>
          <w:tcPr>
            <w:tcW w:w="1814" w:type="dxa"/>
            <w:vMerge/>
          </w:tcPr>
          <w:p w14:paraId="0AC984BE" w14:textId="77777777" w:rsidR="00F552D7" w:rsidRDefault="00F552D7">
            <w:pPr>
              <w:spacing w:line="600" w:lineRule="exact"/>
              <w:ind w:firstLine="120"/>
              <w:jc w:val="both"/>
              <w:rPr>
                <w:rFonts w:eastAsia="標楷體"/>
                <w:sz w:val="26"/>
              </w:rPr>
            </w:pPr>
          </w:p>
        </w:tc>
        <w:tc>
          <w:tcPr>
            <w:tcW w:w="3969" w:type="dxa"/>
          </w:tcPr>
          <w:p w14:paraId="6FF61628" w14:textId="77777777" w:rsidR="00F552D7" w:rsidRDefault="00F552D7">
            <w:pPr>
              <w:spacing w:line="600" w:lineRule="exact"/>
              <w:jc w:val="both"/>
              <w:rPr>
                <w:rFonts w:eastAsia="標楷體"/>
                <w:sz w:val="26"/>
              </w:rPr>
            </w:pPr>
            <w:r>
              <w:rPr>
                <w:rFonts w:eastAsia="標楷體" w:hint="eastAsia"/>
                <w:sz w:val="26"/>
              </w:rPr>
              <w:t>職稱：</w:t>
            </w:r>
            <w:r w:rsidR="0096010D">
              <w:rPr>
                <w:rFonts w:eastAsia="標楷體" w:hint="eastAsia"/>
                <w:b/>
                <w:sz w:val="28"/>
              </w:rPr>
              <w:t>中心</w:t>
            </w:r>
            <w:r w:rsidR="00D845D0">
              <w:rPr>
                <w:rFonts w:eastAsia="標楷體" w:hint="eastAsia"/>
                <w:b/>
                <w:sz w:val="28"/>
              </w:rPr>
              <w:t>主任</w:t>
            </w:r>
          </w:p>
        </w:tc>
        <w:tc>
          <w:tcPr>
            <w:tcW w:w="3743" w:type="dxa"/>
          </w:tcPr>
          <w:p w14:paraId="4EBCF205" w14:textId="77777777" w:rsidR="00F552D7" w:rsidRDefault="00F552D7">
            <w:pPr>
              <w:spacing w:line="600" w:lineRule="exact"/>
              <w:ind w:right="-1566"/>
              <w:jc w:val="both"/>
              <w:rPr>
                <w:rFonts w:eastAsia="標楷體"/>
                <w:sz w:val="26"/>
              </w:rPr>
            </w:pPr>
            <w:r>
              <w:rPr>
                <w:rFonts w:eastAsia="標楷體" w:hint="eastAsia"/>
                <w:sz w:val="26"/>
              </w:rPr>
              <w:t>單位：</w:t>
            </w:r>
            <w:r w:rsidR="0096010D">
              <w:rPr>
                <w:rFonts w:eastAsia="標楷體" w:hint="eastAsia"/>
                <w:b/>
                <w:sz w:val="28"/>
              </w:rPr>
              <w:t>肝病中心</w:t>
            </w:r>
          </w:p>
        </w:tc>
      </w:tr>
      <w:tr w:rsidR="00F552D7" w14:paraId="53F5FA6A" w14:textId="77777777" w:rsidTr="00B07BAC">
        <w:trPr>
          <w:cantSplit/>
        </w:trPr>
        <w:tc>
          <w:tcPr>
            <w:tcW w:w="1814" w:type="dxa"/>
          </w:tcPr>
          <w:p w14:paraId="51BCA21E" w14:textId="77777777" w:rsidR="00F552D7" w:rsidRDefault="00F552D7">
            <w:pPr>
              <w:spacing w:line="600" w:lineRule="exact"/>
              <w:ind w:firstLine="120"/>
              <w:jc w:val="both"/>
              <w:rPr>
                <w:rFonts w:eastAsia="標楷體"/>
                <w:sz w:val="26"/>
              </w:rPr>
            </w:pPr>
            <w:r>
              <w:rPr>
                <w:rFonts w:eastAsia="標楷體" w:hint="eastAsia"/>
                <w:sz w:val="26"/>
              </w:rPr>
              <w:t>通訊地址</w:t>
            </w:r>
          </w:p>
        </w:tc>
        <w:tc>
          <w:tcPr>
            <w:tcW w:w="7712" w:type="dxa"/>
            <w:gridSpan w:val="2"/>
          </w:tcPr>
          <w:p w14:paraId="4CA43E47" w14:textId="77777777" w:rsidR="00F552D7" w:rsidRDefault="0096010D">
            <w:pPr>
              <w:spacing w:line="600" w:lineRule="exact"/>
              <w:jc w:val="both"/>
              <w:rPr>
                <w:rFonts w:eastAsia="標楷體"/>
                <w:b/>
                <w:sz w:val="28"/>
              </w:rPr>
            </w:pPr>
            <w:r>
              <w:rPr>
                <w:rFonts w:eastAsia="標楷體" w:hint="eastAsia"/>
                <w:b/>
                <w:sz w:val="28"/>
              </w:rPr>
              <w:t>高雄市左營區重化街六號</w:t>
            </w:r>
            <w:r>
              <w:rPr>
                <w:rFonts w:eastAsia="標楷體" w:hint="eastAsia"/>
                <w:b/>
                <w:sz w:val="28"/>
              </w:rPr>
              <w:t>13</w:t>
            </w:r>
            <w:r>
              <w:rPr>
                <w:rFonts w:eastAsia="標楷體" w:hint="eastAsia"/>
                <w:b/>
                <w:sz w:val="28"/>
              </w:rPr>
              <w:t>樓</w:t>
            </w:r>
          </w:p>
        </w:tc>
      </w:tr>
      <w:tr w:rsidR="00F552D7" w14:paraId="2DAD54D3" w14:textId="77777777" w:rsidTr="00B07BAC">
        <w:trPr>
          <w:cantSplit/>
        </w:trPr>
        <w:tc>
          <w:tcPr>
            <w:tcW w:w="1814" w:type="dxa"/>
          </w:tcPr>
          <w:p w14:paraId="1E949F6F" w14:textId="77777777" w:rsidR="00F552D7" w:rsidRDefault="00F552D7">
            <w:pPr>
              <w:spacing w:line="600" w:lineRule="exact"/>
              <w:ind w:firstLine="120"/>
              <w:jc w:val="both"/>
              <w:rPr>
                <w:rFonts w:eastAsia="標楷體"/>
                <w:sz w:val="26"/>
              </w:rPr>
            </w:pPr>
            <w:r>
              <w:rPr>
                <w:rFonts w:eastAsia="標楷體" w:hint="eastAsia"/>
                <w:sz w:val="26"/>
              </w:rPr>
              <w:t>聯絡電話</w:t>
            </w:r>
          </w:p>
        </w:tc>
        <w:tc>
          <w:tcPr>
            <w:tcW w:w="7712" w:type="dxa"/>
            <w:gridSpan w:val="2"/>
          </w:tcPr>
          <w:p w14:paraId="46B52084" w14:textId="77777777" w:rsidR="00F552D7" w:rsidRDefault="008419D6" w:rsidP="0096010D">
            <w:pPr>
              <w:spacing w:line="600" w:lineRule="exact"/>
              <w:jc w:val="both"/>
              <w:rPr>
                <w:rFonts w:eastAsia="標楷體"/>
                <w:b/>
                <w:sz w:val="28"/>
              </w:rPr>
            </w:pPr>
            <w:r w:rsidRPr="008419D6">
              <w:rPr>
                <w:rFonts w:eastAsia="標楷體"/>
                <w:b/>
                <w:sz w:val="28"/>
              </w:rPr>
              <w:t>(02)</w:t>
            </w:r>
            <w:r w:rsidR="0096010D">
              <w:rPr>
                <w:rFonts w:eastAsia="標楷體"/>
                <w:b/>
                <w:sz w:val="28"/>
              </w:rPr>
              <w:t>6150011</w:t>
            </w:r>
            <w:r w:rsidR="00B07BAC">
              <w:rPr>
                <w:rFonts w:eastAsia="標楷體" w:hint="eastAsia"/>
                <w:b/>
                <w:sz w:val="28"/>
              </w:rPr>
              <w:t>, 0988687726</w:t>
            </w:r>
          </w:p>
        </w:tc>
      </w:tr>
      <w:tr w:rsidR="00F552D7" w14:paraId="19FEB025" w14:textId="77777777" w:rsidTr="00B07BAC">
        <w:trPr>
          <w:cantSplit/>
        </w:trPr>
        <w:tc>
          <w:tcPr>
            <w:tcW w:w="1814" w:type="dxa"/>
          </w:tcPr>
          <w:p w14:paraId="6D9BF991" w14:textId="77777777" w:rsidR="00F552D7" w:rsidRDefault="00F552D7">
            <w:pPr>
              <w:spacing w:line="600" w:lineRule="exact"/>
              <w:ind w:firstLine="120"/>
              <w:jc w:val="both"/>
              <w:rPr>
                <w:rFonts w:eastAsia="標楷體"/>
                <w:sz w:val="26"/>
              </w:rPr>
            </w:pPr>
            <w:r>
              <w:rPr>
                <w:rFonts w:eastAsia="標楷體" w:hint="eastAsia"/>
                <w:sz w:val="26"/>
              </w:rPr>
              <w:t>計畫執行期限</w:t>
            </w:r>
          </w:p>
        </w:tc>
        <w:tc>
          <w:tcPr>
            <w:tcW w:w="7712" w:type="dxa"/>
            <w:gridSpan w:val="2"/>
          </w:tcPr>
          <w:p w14:paraId="13C2247E" w14:textId="5CE65113" w:rsidR="00F552D7" w:rsidRDefault="00F552D7" w:rsidP="0096010D">
            <w:pPr>
              <w:spacing w:line="600" w:lineRule="exact"/>
              <w:jc w:val="both"/>
              <w:rPr>
                <w:rFonts w:eastAsia="標楷體"/>
                <w:sz w:val="26"/>
              </w:rPr>
            </w:pPr>
            <w:r>
              <w:rPr>
                <w:rFonts w:eastAsia="標楷體" w:hint="eastAsia"/>
                <w:sz w:val="26"/>
              </w:rPr>
              <w:t>自</w:t>
            </w:r>
            <w:r>
              <w:rPr>
                <w:rFonts w:eastAsia="標楷體" w:hint="eastAsia"/>
                <w:sz w:val="28"/>
              </w:rPr>
              <w:t xml:space="preserve"> </w:t>
            </w:r>
            <w:r w:rsidR="00B07BAC">
              <w:rPr>
                <w:rFonts w:eastAsia="標楷體" w:hint="eastAsia"/>
                <w:b/>
                <w:sz w:val="28"/>
              </w:rPr>
              <w:t>1</w:t>
            </w:r>
            <w:r w:rsidR="006F3A64">
              <w:rPr>
                <w:rFonts w:eastAsia="標楷體" w:hint="eastAsia"/>
                <w:b/>
                <w:sz w:val="28"/>
              </w:rPr>
              <w:t>1</w:t>
            </w:r>
            <w:r w:rsidR="006F3A64">
              <w:rPr>
                <w:rFonts w:eastAsia="標楷體"/>
                <w:b/>
                <w:sz w:val="28"/>
              </w:rPr>
              <w:t>0</w:t>
            </w:r>
            <w:r>
              <w:rPr>
                <w:rFonts w:eastAsia="標楷體" w:hint="eastAsia"/>
                <w:sz w:val="28"/>
              </w:rPr>
              <w:t xml:space="preserve">  </w:t>
            </w:r>
            <w:r>
              <w:rPr>
                <w:rFonts w:eastAsia="標楷體" w:hint="eastAsia"/>
                <w:sz w:val="26"/>
              </w:rPr>
              <w:t>年</w:t>
            </w:r>
            <w:r>
              <w:rPr>
                <w:rFonts w:eastAsia="標楷體" w:hint="eastAsia"/>
                <w:sz w:val="26"/>
              </w:rPr>
              <w:t xml:space="preserve"> </w:t>
            </w:r>
            <w:r w:rsidR="00B07BAC">
              <w:rPr>
                <w:rFonts w:eastAsia="標楷體" w:hint="eastAsia"/>
                <w:sz w:val="28"/>
              </w:rPr>
              <w:t xml:space="preserve"> 1</w:t>
            </w:r>
            <w:r>
              <w:rPr>
                <w:rFonts w:eastAsia="標楷體" w:hint="eastAsia"/>
                <w:sz w:val="28"/>
              </w:rPr>
              <w:t xml:space="preserve">  </w:t>
            </w:r>
            <w:r>
              <w:rPr>
                <w:rFonts w:eastAsia="標楷體" w:hint="eastAsia"/>
                <w:sz w:val="26"/>
              </w:rPr>
              <w:t>月</w:t>
            </w:r>
            <w:r w:rsidR="00B07BAC">
              <w:rPr>
                <w:rFonts w:eastAsia="標楷體" w:hint="eastAsia"/>
                <w:sz w:val="28"/>
              </w:rPr>
              <w:t xml:space="preserve"> </w:t>
            </w:r>
            <w:r>
              <w:rPr>
                <w:rFonts w:eastAsia="標楷體" w:hint="eastAsia"/>
                <w:b/>
                <w:sz w:val="28"/>
              </w:rPr>
              <w:t>1</w:t>
            </w:r>
            <w:r>
              <w:rPr>
                <w:rFonts w:eastAsia="標楷體" w:hint="eastAsia"/>
                <w:sz w:val="28"/>
              </w:rPr>
              <w:t xml:space="preserve">  </w:t>
            </w:r>
            <w:r>
              <w:rPr>
                <w:rFonts w:eastAsia="標楷體" w:hint="eastAsia"/>
                <w:sz w:val="26"/>
              </w:rPr>
              <w:t>日起至</w:t>
            </w:r>
            <w:r>
              <w:rPr>
                <w:rFonts w:eastAsia="標楷體" w:hint="eastAsia"/>
                <w:sz w:val="28"/>
              </w:rPr>
              <w:t xml:space="preserve">  </w:t>
            </w:r>
            <w:r w:rsidR="00B07BAC">
              <w:rPr>
                <w:rFonts w:eastAsia="標楷體" w:hint="eastAsia"/>
                <w:b/>
                <w:sz w:val="28"/>
              </w:rPr>
              <w:t>1</w:t>
            </w:r>
            <w:r w:rsidR="006F3A64">
              <w:rPr>
                <w:rFonts w:eastAsia="標楷體"/>
                <w:b/>
                <w:sz w:val="28"/>
              </w:rPr>
              <w:t>10</w:t>
            </w:r>
            <w:r>
              <w:rPr>
                <w:rFonts w:eastAsia="標楷體" w:hint="eastAsia"/>
                <w:sz w:val="28"/>
              </w:rPr>
              <w:t xml:space="preserve"> </w:t>
            </w:r>
            <w:r>
              <w:rPr>
                <w:rFonts w:eastAsia="標楷體" w:hint="eastAsia"/>
                <w:sz w:val="26"/>
              </w:rPr>
              <w:t>年</w:t>
            </w:r>
            <w:r>
              <w:rPr>
                <w:rFonts w:eastAsia="標楷體" w:hint="eastAsia"/>
                <w:sz w:val="28"/>
              </w:rPr>
              <w:t xml:space="preserve">  </w:t>
            </w:r>
            <w:r>
              <w:rPr>
                <w:rFonts w:eastAsia="標楷體" w:hint="eastAsia"/>
                <w:b/>
                <w:sz w:val="28"/>
              </w:rPr>
              <w:t>12</w:t>
            </w:r>
            <w:r>
              <w:rPr>
                <w:rFonts w:eastAsia="標楷體" w:hint="eastAsia"/>
                <w:sz w:val="28"/>
              </w:rPr>
              <w:t xml:space="preserve">  </w:t>
            </w:r>
            <w:r>
              <w:rPr>
                <w:rFonts w:eastAsia="標楷體" w:hint="eastAsia"/>
                <w:sz w:val="26"/>
              </w:rPr>
              <w:t>月</w:t>
            </w:r>
            <w:r>
              <w:rPr>
                <w:rFonts w:eastAsia="標楷體" w:hint="eastAsia"/>
                <w:sz w:val="28"/>
              </w:rPr>
              <w:t xml:space="preserve">  </w:t>
            </w:r>
            <w:r>
              <w:rPr>
                <w:rFonts w:eastAsia="標楷體" w:hint="eastAsia"/>
                <w:b/>
                <w:sz w:val="28"/>
              </w:rPr>
              <w:t>31</w:t>
            </w:r>
            <w:r>
              <w:rPr>
                <w:rFonts w:eastAsia="標楷體" w:hint="eastAsia"/>
                <w:sz w:val="28"/>
              </w:rPr>
              <w:t xml:space="preserve">  </w:t>
            </w:r>
            <w:r>
              <w:rPr>
                <w:rFonts w:eastAsia="標楷體" w:hint="eastAsia"/>
                <w:sz w:val="26"/>
              </w:rPr>
              <w:t>日止</w:t>
            </w:r>
          </w:p>
        </w:tc>
      </w:tr>
      <w:tr w:rsidR="00F552D7" w14:paraId="40A9B0B9" w14:textId="77777777" w:rsidTr="00B07BAC">
        <w:trPr>
          <w:cantSplit/>
        </w:trPr>
        <w:tc>
          <w:tcPr>
            <w:tcW w:w="1814" w:type="dxa"/>
            <w:vMerge w:val="restart"/>
          </w:tcPr>
          <w:p w14:paraId="5AB84206"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69C9BE10" w14:textId="77777777" w:rsidR="00F552D7" w:rsidRDefault="00F552D7">
            <w:pPr>
              <w:spacing w:line="600" w:lineRule="exact"/>
              <w:ind w:firstLine="120"/>
              <w:jc w:val="both"/>
              <w:rPr>
                <w:rFonts w:eastAsia="標楷體"/>
                <w:sz w:val="26"/>
              </w:rPr>
            </w:pPr>
            <w:r>
              <w:rPr>
                <w:rFonts w:eastAsia="標楷體" w:hint="eastAsia"/>
                <w:sz w:val="26"/>
              </w:rPr>
              <w:t>（一）</w:t>
            </w:r>
          </w:p>
        </w:tc>
        <w:tc>
          <w:tcPr>
            <w:tcW w:w="3969" w:type="dxa"/>
          </w:tcPr>
          <w:p w14:paraId="7B8D5C80" w14:textId="77777777" w:rsidR="00F552D7" w:rsidRDefault="00F552D7">
            <w:pPr>
              <w:spacing w:line="600" w:lineRule="exact"/>
              <w:jc w:val="both"/>
              <w:rPr>
                <w:rFonts w:eastAsia="標楷體"/>
                <w:sz w:val="26"/>
              </w:rPr>
            </w:pPr>
            <w:r>
              <w:rPr>
                <w:rFonts w:eastAsia="標楷體" w:hint="eastAsia"/>
                <w:sz w:val="26"/>
              </w:rPr>
              <w:t>姓名：</w:t>
            </w:r>
            <w:r>
              <w:rPr>
                <w:rFonts w:eastAsia="標楷體" w:hint="eastAsia"/>
                <w:sz w:val="26"/>
              </w:rPr>
              <w:t xml:space="preserve"> </w:t>
            </w:r>
          </w:p>
        </w:tc>
        <w:tc>
          <w:tcPr>
            <w:tcW w:w="3743" w:type="dxa"/>
          </w:tcPr>
          <w:p w14:paraId="7922A1E4" w14:textId="77777777" w:rsidR="00F552D7" w:rsidRDefault="00F552D7">
            <w:pPr>
              <w:spacing w:line="600" w:lineRule="exact"/>
              <w:ind w:right="-1566"/>
              <w:jc w:val="both"/>
              <w:rPr>
                <w:rFonts w:eastAsia="標楷體"/>
                <w:sz w:val="26"/>
              </w:rPr>
            </w:pPr>
            <w:r>
              <w:rPr>
                <w:rFonts w:eastAsia="標楷體" w:hint="eastAsia"/>
                <w:sz w:val="26"/>
              </w:rPr>
              <w:t>機關：</w:t>
            </w:r>
            <w:r>
              <w:rPr>
                <w:rFonts w:eastAsia="標楷體" w:hint="eastAsia"/>
                <w:sz w:val="26"/>
              </w:rPr>
              <w:t xml:space="preserve"> </w:t>
            </w:r>
          </w:p>
        </w:tc>
      </w:tr>
      <w:tr w:rsidR="00F552D7" w14:paraId="769F9C3B" w14:textId="77777777" w:rsidTr="00B07BAC">
        <w:trPr>
          <w:cantSplit/>
        </w:trPr>
        <w:tc>
          <w:tcPr>
            <w:tcW w:w="1814" w:type="dxa"/>
            <w:vMerge/>
          </w:tcPr>
          <w:p w14:paraId="48ED7DA7" w14:textId="77777777" w:rsidR="00F552D7" w:rsidRDefault="00F552D7">
            <w:pPr>
              <w:spacing w:line="600" w:lineRule="exact"/>
              <w:ind w:firstLine="120"/>
              <w:jc w:val="both"/>
              <w:rPr>
                <w:rFonts w:eastAsia="標楷體"/>
                <w:sz w:val="26"/>
              </w:rPr>
            </w:pPr>
          </w:p>
        </w:tc>
        <w:tc>
          <w:tcPr>
            <w:tcW w:w="3969" w:type="dxa"/>
          </w:tcPr>
          <w:p w14:paraId="59FA3E57"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7036852A" w14:textId="77777777" w:rsidR="00F552D7" w:rsidRDefault="00F552D7">
            <w:pPr>
              <w:spacing w:line="600" w:lineRule="exact"/>
              <w:ind w:right="-1566"/>
              <w:jc w:val="both"/>
              <w:rPr>
                <w:rFonts w:eastAsia="標楷體"/>
                <w:sz w:val="26"/>
              </w:rPr>
            </w:pPr>
            <w:r>
              <w:rPr>
                <w:rFonts w:eastAsia="標楷體" w:hint="eastAsia"/>
                <w:sz w:val="26"/>
              </w:rPr>
              <w:t>單位：</w:t>
            </w:r>
            <w:r>
              <w:rPr>
                <w:rFonts w:eastAsia="標楷體" w:hint="eastAsia"/>
                <w:sz w:val="26"/>
              </w:rPr>
              <w:t xml:space="preserve"> </w:t>
            </w:r>
          </w:p>
        </w:tc>
      </w:tr>
      <w:tr w:rsidR="00F552D7" w14:paraId="5E53FDBB" w14:textId="77777777" w:rsidTr="00B07BAC">
        <w:trPr>
          <w:cantSplit/>
        </w:trPr>
        <w:tc>
          <w:tcPr>
            <w:tcW w:w="1814" w:type="dxa"/>
            <w:vMerge w:val="restart"/>
          </w:tcPr>
          <w:p w14:paraId="64398CED"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0EE045EE" w14:textId="77777777" w:rsidR="00F552D7" w:rsidRDefault="00F552D7">
            <w:pPr>
              <w:spacing w:line="600" w:lineRule="exact"/>
              <w:ind w:firstLine="120"/>
              <w:jc w:val="both"/>
              <w:rPr>
                <w:rFonts w:eastAsia="標楷體"/>
                <w:sz w:val="26"/>
              </w:rPr>
            </w:pPr>
            <w:r>
              <w:rPr>
                <w:rFonts w:eastAsia="標楷體" w:hint="eastAsia"/>
                <w:sz w:val="26"/>
              </w:rPr>
              <w:t>（二）</w:t>
            </w:r>
          </w:p>
        </w:tc>
        <w:tc>
          <w:tcPr>
            <w:tcW w:w="3969" w:type="dxa"/>
          </w:tcPr>
          <w:p w14:paraId="4CE7692B" w14:textId="77777777" w:rsidR="00F552D7" w:rsidRDefault="00F552D7">
            <w:pPr>
              <w:spacing w:line="600" w:lineRule="exact"/>
              <w:jc w:val="both"/>
              <w:rPr>
                <w:rFonts w:eastAsia="標楷體"/>
                <w:sz w:val="26"/>
              </w:rPr>
            </w:pPr>
            <w:r>
              <w:rPr>
                <w:rFonts w:eastAsia="標楷體" w:hint="eastAsia"/>
                <w:sz w:val="26"/>
              </w:rPr>
              <w:t>姓名：</w:t>
            </w:r>
          </w:p>
        </w:tc>
        <w:tc>
          <w:tcPr>
            <w:tcW w:w="3743" w:type="dxa"/>
          </w:tcPr>
          <w:p w14:paraId="64BA68D1" w14:textId="77777777" w:rsidR="00F552D7" w:rsidRDefault="00F552D7">
            <w:pPr>
              <w:spacing w:line="600" w:lineRule="exact"/>
              <w:ind w:right="-1566"/>
              <w:jc w:val="both"/>
              <w:rPr>
                <w:rFonts w:eastAsia="標楷體"/>
                <w:sz w:val="26"/>
              </w:rPr>
            </w:pPr>
            <w:r>
              <w:rPr>
                <w:rFonts w:eastAsia="標楷體" w:hint="eastAsia"/>
                <w:sz w:val="26"/>
              </w:rPr>
              <w:t>機關：</w:t>
            </w:r>
          </w:p>
        </w:tc>
      </w:tr>
      <w:tr w:rsidR="00F552D7" w14:paraId="160211CB" w14:textId="77777777" w:rsidTr="00B07BAC">
        <w:trPr>
          <w:cantSplit/>
        </w:trPr>
        <w:tc>
          <w:tcPr>
            <w:tcW w:w="1814" w:type="dxa"/>
            <w:vMerge/>
          </w:tcPr>
          <w:p w14:paraId="5739C6AC" w14:textId="77777777" w:rsidR="00F552D7" w:rsidRDefault="00F552D7">
            <w:pPr>
              <w:spacing w:line="600" w:lineRule="exact"/>
              <w:ind w:firstLine="120"/>
              <w:jc w:val="both"/>
              <w:rPr>
                <w:rFonts w:eastAsia="標楷體"/>
                <w:sz w:val="26"/>
              </w:rPr>
            </w:pPr>
          </w:p>
        </w:tc>
        <w:tc>
          <w:tcPr>
            <w:tcW w:w="3969" w:type="dxa"/>
          </w:tcPr>
          <w:p w14:paraId="5E87A939"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1573C966" w14:textId="77777777" w:rsidR="00F552D7" w:rsidRDefault="00F552D7">
            <w:pPr>
              <w:spacing w:line="600" w:lineRule="exact"/>
              <w:ind w:right="-1566"/>
              <w:jc w:val="both"/>
              <w:rPr>
                <w:rFonts w:eastAsia="標楷體"/>
                <w:sz w:val="26"/>
              </w:rPr>
            </w:pPr>
            <w:r>
              <w:rPr>
                <w:rFonts w:eastAsia="標楷體" w:hint="eastAsia"/>
                <w:sz w:val="26"/>
              </w:rPr>
              <w:t>單位：</w:t>
            </w:r>
          </w:p>
        </w:tc>
      </w:tr>
      <w:tr w:rsidR="00F552D7" w14:paraId="2775F69C" w14:textId="77777777" w:rsidTr="00B07BAC">
        <w:trPr>
          <w:cantSplit/>
        </w:trPr>
        <w:tc>
          <w:tcPr>
            <w:tcW w:w="1814" w:type="dxa"/>
            <w:vMerge w:val="restart"/>
          </w:tcPr>
          <w:p w14:paraId="68715403"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5EB0EAED" w14:textId="77777777" w:rsidR="00F552D7" w:rsidRDefault="00F552D7">
            <w:pPr>
              <w:spacing w:line="600" w:lineRule="exact"/>
              <w:ind w:firstLine="120"/>
              <w:jc w:val="both"/>
              <w:rPr>
                <w:rFonts w:eastAsia="標楷體"/>
                <w:sz w:val="26"/>
              </w:rPr>
            </w:pPr>
            <w:r>
              <w:rPr>
                <w:rFonts w:eastAsia="標楷體" w:hint="eastAsia"/>
                <w:sz w:val="26"/>
              </w:rPr>
              <w:t>（三）</w:t>
            </w:r>
          </w:p>
        </w:tc>
        <w:tc>
          <w:tcPr>
            <w:tcW w:w="3969" w:type="dxa"/>
          </w:tcPr>
          <w:p w14:paraId="44317F42" w14:textId="77777777" w:rsidR="00F552D7" w:rsidRDefault="00F552D7">
            <w:pPr>
              <w:spacing w:line="600" w:lineRule="exact"/>
              <w:jc w:val="both"/>
              <w:rPr>
                <w:rFonts w:eastAsia="標楷體"/>
                <w:sz w:val="26"/>
              </w:rPr>
            </w:pPr>
            <w:r>
              <w:rPr>
                <w:rFonts w:eastAsia="標楷體" w:hint="eastAsia"/>
                <w:sz w:val="26"/>
              </w:rPr>
              <w:t>姓名：</w:t>
            </w:r>
          </w:p>
        </w:tc>
        <w:tc>
          <w:tcPr>
            <w:tcW w:w="3743" w:type="dxa"/>
          </w:tcPr>
          <w:p w14:paraId="39EBD5CD" w14:textId="77777777" w:rsidR="00F552D7" w:rsidRDefault="00F552D7">
            <w:pPr>
              <w:spacing w:line="600" w:lineRule="exact"/>
              <w:ind w:right="-1566"/>
              <w:jc w:val="both"/>
              <w:rPr>
                <w:rFonts w:eastAsia="標楷體"/>
                <w:sz w:val="26"/>
              </w:rPr>
            </w:pPr>
            <w:r>
              <w:rPr>
                <w:rFonts w:eastAsia="標楷體" w:hint="eastAsia"/>
                <w:sz w:val="26"/>
              </w:rPr>
              <w:t>機關：</w:t>
            </w:r>
          </w:p>
        </w:tc>
      </w:tr>
      <w:tr w:rsidR="00F552D7" w14:paraId="022D0732" w14:textId="77777777" w:rsidTr="00B07BAC">
        <w:trPr>
          <w:cantSplit/>
        </w:trPr>
        <w:tc>
          <w:tcPr>
            <w:tcW w:w="1814" w:type="dxa"/>
            <w:vMerge/>
          </w:tcPr>
          <w:p w14:paraId="7382900B" w14:textId="77777777" w:rsidR="00F552D7" w:rsidRDefault="00F552D7">
            <w:pPr>
              <w:spacing w:line="600" w:lineRule="exact"/>
              <w:ind w:firstLine="120"/>
              <w:jc w:val="both"/>
              <w:rPr>
                <w:rFonts w:eastAsia="標楷體"/>
                <w:sz w:val="26"/>
              </w:rPr>
            </w:pPr>
          </w:p>
        </w:tc>
        <w:tc>
          <w:tcPr>
            <w:tcW w:w="3969" w:type="dxa"/>
          </w:tcPr>
          <w:p w14:paraId="72DCD9DF"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1D9F4529" w14:textId="77777777" w:rsidR="00F552D7" w:rsidRDefault="00F552D7">
            <w:pPr>
              <w:spacing w:line="600" w:lineRule="exact"/>
              <w:ind w:right="-1566"/>
              <w:jc w:val="both"/>
              <w:rPr>
                <w:rFonts w:eastAsia="標楷體"/>
                <w:sz w:val="26"/>
              </w:rPr>
            </w:pPr>
            <w:r>
              <w:rPr>
                <w:rFonts w:eastAsia="標楷體" w:hint="eastAsia"/>
                <w:sz w:val="26"/>
              </w:rPr>
              <w:t>單位：</w:t>
            </w:r>
          </w:p>
        </w:tc>
      </w:tr>
      <w:tr w:rsidR="00F552D7" w14:paraId="6750C726" w14:textId="77777777" w:rsidTr="00B07BAC">
        <w:trPr>
          <w:cantSplit/>
        </w:trPr>
        <w:tc>
          <w:tcPr>
            <w:tcW w:w="1814" w:type="dxa"/>
            <w:vMerge w:val="restart"/>
          </w:tcPr>
          <w:p w14:paraId="1479BFB7" w14:textId="77777777" w:rsidR="00F552D7" w:rsidRDefault="00F552D7">
            <w:pPr>
              <w:spacing w:line="600" w:lineRule="exact"/>
              <w:ind w:firstLine="120"/>
              <w:jc w:val="both"/>
              <w:rPr>
                <w:rFonts w:eastAsia="標楷體"/>
                <w:sz w:val="26"/>
              </w:rPr>
            </w:pPr>
            <w:r>
              <w:rPr>
                <w:rFonts w:eastAsia="標楷體" w:hint="eastAsia"/>
                <w:sz w:val="26"/>
              </w:rPr>
              <w:t>共同主持人</w:t>
            </w:r>
          </w:p>
          <w:p w14:paraId="1DBC8BF4" w14:textId="77777777" w:rsidR="00F552D7" w:rsidRDefault="00F552D7">
            <w:pPr>
              <w:spacing w:line="600" w:lineRule="exact"/>
              <w:ind w:firstLine="120"/>
              <w:jc w:val="both"/>
              <w:rPr>
                <w:rFonts w:eastAsia="標楷體"/>
                <w:sz w:val="26"/>
              </w:rPr>
            </w:pPr>
            <w:r>
              <w:rPr>
                <w:rFonts w:eastAsia="標楷體" w:hint="eastAsia"/>
                <w:sz w:val="26"/>
              </w:rPr>
              <w:t>（四）</w:t>
            </w:r>
          </w:p>
        </w:tc>
        <w:tc>
          <w:tcPr>
            <w:tcW w:w="3969" w:type="dxa"/>
          </w:tcPr>
          <w:p w14:paraId="6551CA28" w14:textId="77777777" w:rsidR="00F552D7" w:rsidRDefault="00F552D7">
            <w:pPr>
              <w:spacing w:line="600" w:lineRule="exact"/>
              <w:jc w:val="both"/>
              <w:rPr>
                <w:rFonts w:eastAsia="標楷體"/>
                <w:sz w:val="26"/>
              </w:rPr>
            </w:pPr>
            <w:r>
              <w:rPr>
                <w:rFonts w:eastAsia="標楷體" w:hint="eastAsia"/>
                <w:sz w:val="26"/>
              </w:rPr>
              <w:t>姓名：</w:t>
            </w:r>
          </w:p>
        </w:tc>
        <w:tc>
          <w:tcPr>
            <w:tcW w:w="3743" w:type="dxa"/>
          </w:tcPr>
          <w:p w14:paraId="0DC55B6B" w14:textId="77777777" w:rsidR="00F552D7" w:rsidRDefault="00F552D7">
            <w:pPr>
              <w:spacing w:line="600" w:lineRule="exact"/>
              <w:ind w:right="-1566"/>
              <w:jc w:val="both"/>
              <w:rPr>
                <w:rFonts w:eastAsia="標楷體"/>
                <w:sz w:val="26"/>
              </w:rPr>
            </w:pPr>
            <w:r>
              <w:rPr>
                <w:rFonts w:eastAsia="標楷體" w:hint="eastAsia"/>
                <w:sz w:val="26"/>
              </w:rPr>
              <w:t>機關：</w:t>
            </w:r>
          </w:p>
        </w:tc>
      </w:tr>
      <w:tr w:rsidR="00F552D7" w14:paraId="778C04B1" w14:textId="77777777" w:rsidTr="00B07BAC">
        <w:trPr>
          <w:cantSplit/>
        </w:trPr>
        <w:tc>
          <w:tcPr>
            <w:tcW w:w="1814" w:type="dxa"/>
            <w:vMerge/>
          </w:tcPr>
          <w:p w14:paraId="20F4EE40" w14:textId="77777777" w:rsidR="00F552D7" w:rsidRDefault="00F552D7">
            <w:pPr>
              <w:spacing w:line="600" w:lineRule="exact"/>
              <w:ind w:firstLine="120"/>
              <w:jc w:val="both"/>
              <w:rPr>
                <w:rFonts w:eastAsia="標楷體"/>
                <w:sz w:val="26"/>
              </w:rPr>
            </w:pPr>
          </w:p>
        </w:tc>
        <w:tc>
          <w:tcPr>
            <w:tcW w:w="3969" w:type="dxa"/>
          </w:tcPr>
          <w:p w14:paraId="6F64C0DF" w14:textId="77777777" w:rsidR="00F552D7" w:rsidRDefault="00F552D7">
            <w:pPr>
              <w:spacing w:line="600" w:lineRule="exact"/>
              <w:jc w:val="both"/>
              <w:rPr>
                <w:rFonts w:eastAsia="標楷體"/>
                <w:sz w:val="26"/>
              </w:rPr>
            </w:pPr>
            <w:r>
              <w:rPr>
                <w:rFonts w:eastAsia="標楷體" w:hint="eastAsia"/>
                <w:sz w:val="26"/>
              </w:rPr>
              <w:t>職稱：</w:t>
            </w:r>
          </w:p>
        </w:tc>
        <w:tc>
          <w:tcPr>
            <w:tcW w:w="3743" w:type="dxa"/>
          </w:tcPr>
          <w:p w14:paraId="074830FD" w14:textId="77777777" w:rsidR="00F552D7" w:rsidRDefault="00F552D7">
            <w:pPr>
              <w:spacing w:line="600" w:lineRule="exact"/>
              <w:ind w:right="-1566"/>
              <w:jc w:val="both"/>
              <w:rPr>
                <w:rFonts w:eastAsia="標楷體"/>
                <w:sz w:val="26"/>
              </w:rPr>
            </w:pPr>
            <w:r>
              <w:rPr>
                <w:rFonts w:eastAsia="標楷體" w:hint="eastAsia"/>
                <w:sz w:val="26"/>
              </w:rPr>
              <w:t>單位：</w:t>
            </w:r>
          </w:p>
        </w:tc>
      </w:tr>
    </w:tbl>
    <w:p w14:paraId="519CEFA3" w14:textId="77777777" w:rsidR="004E2477" w:rsidRDefault="004E2477">
      <w:pPr>
        <w:tabs>
          <w:tab w:val="num" w:pos="826"/>
        </w:tabs>
        <w:spacing w:line="360" w:lineRule="exact"/>
        <w:ind w:leftChars="-5" w:left="3477" w:hangingChars="1245" w:hanging="3489"/>
        <w:jc w:val="center"/>
        <w:rPr>
          <w:rFonts w:eastAsia="標楷體"/>
          <w:b/>
          <w:bCs/>
          <w:noProof/>
          <w:sz w:val="28"/>
        </w:rPr>
      </w:pPr>
    </w:p>
    <w:p w14:paraId="0CA22B71" w14:textId="77777777" w:rsidR="003A19EC" w:rsidRDefault="003A19EC">
      <w:pPr>
        <w:tabs>
          <w:tab w:val="num" w:pos="826"/>
        </w:tabs>
        <w:spacing w:line="360" w:lineRule="exact"/>
        <w:ind w:leftChars="-5" w:left="3477" w:hangingChars="1245" w:hanging="3489"/>
        <w:jc w:val="center"/>
        <w:rPr>
          <w:rFonts w:eastAsia="標楷體"/>
          <w:b/>
          <w:bCs/>
          <w:noProof/>
          <w:sz w:val="28"/>
        </w:rPr>
        <w:sectPr w:rsidR="003A19EC">
          <w:pgSz w:w="11906" w:h="16838"/>
          <w:pgMar w:top="1440" w:right="1800" w:bottom="1440" w:left="1800" w:header="851" w:footer="992" w:gutter="0"/>
          <w:cols w:space="425"/>
          <w:docGrid w:type="lines" w:linePitch="360"/>
        </w:sectPr>
      </w:pPr>
    </w:p>
    <w:p w14:paraId="44693EC1" w14:textId="77777777" w:rsidR="00F552D7" w:rsidRDefault="00B07BAC">
      <w:pPr>
        <w:tabs>
          <w:tab w:val="num" w:pos="826"/>
        </w:tabs>
        <w:spacing w:line="360" w:lineRule="exact"/>
        <w:ind w:leftChars="-5" w:left="3477" w:hangingChars="1245" w:hanging="3489"/>
        <w:jc w:val="center"/>
        <w:rPr>
          <w:rFonts w:eastAsia="標楷體"/>
          <w:b/>
          <w:bCs/>
          <w:noProof/>
          <w:sz w:val="28"/>
        </w:rPr>
      </w:pPr>
      <w:r>
        <w:rPr>
          <w:rFonts w:eastAsia="標楷體" w:hint="eastAsia"/>
          <w:b/>
          <w:bCs/>
          <w:noProof/>
          <w:sz w:val="28"/>
        </w:rPr>
        <w:lastRenderedPageBreak/>
        <w:t>研究計畫</w:t>
      </w:r>
      <w:r w:rsidR="00F552D7">
        <w:rPr>
          <w:rFonts w:eastAsia="標楷體" w:hint="eastAsia"/>
          <w:b/>
          <w:bCs/>
          <w:noProof/>
          <w:sz w:val="28"/>
        </w:rPr>
        <w:t>摘要</w:t>
      </w:r>
    </w:p>
    <w:p w14:paraId="14994E81" w14:textId="77777777" w:rsidR="001B6C88" w:rsidRDefault="001B6C88" w:rsidP="00624B7B">
      <w:pPr>
        <w:tabs>
          <w:tab w:val="num" w:pos="826"/>
        </w:tabs>
        <w:spacing w:line="360" w:lineRule="exact"/>
        <w:rPr>
          <w:rFonts w:eastAsia="標楷體"/>
        </w:rPr>
      </w:pPr>
    </w:p>
    <w:p w14:paraId="58655CEA" w14:textId="6EC54ADF" w:rsidR="00F552D7" w:rsidRDefault="001B6C88" w:rsidP="003A19EC">
      <w:pPr>
        <w:tabs>
          <w:tab w:val="num" w:pos="826"/>
        </w:tabs>
        <w:spacing w:line="360" w:lineRule="exact"/>
        <w:ind w:leftChars="-5" w:left="1134" w:hangingChars="477" w:hanging="1146"/>
        <w:rPr>
          <w:rFonts w:eastAsia="標楷體"/>
        </w:rPr>
      </w:pPr>
      <w:r w:rsidRPr="001B6C88">
        <w:rPr>
          <w:rFonts w:eastAsia="標楷體" w:hint="eastAsia"/>
          <w:b/>
        </w:rPr>
        <w:t>研究主題</w:t>
      </w:r>
      <w:r w:rsidRPr="001B6C88">
        <w:rPr>
          <w:rFonts w:eastAsia="標楷體" w:hint="eastAsia"/>
          <w:b/>
        </w:rPr>
        <w:t>:</w:t>
      </w:r>
      <w:r w:rsidR="00AA1386">
        <w:rPr>
          <w:rFonts w:eastAsia="標楷體" w:hint="eastAsia"/>
        </w:rPr>
        <w:t xml:space="preserve"> </w:t>
      </w:r>
      <w:proofErr w:type="gramStart"/>
      <w:r w:rsidR="00AA1386">
        <w:rPr>
          <w:rFonts w:eastAsia="標楷體" w:hint="eastAsia"/>
        </w:rPr>
        <w:t>釐</w:t>
      </w:r>
      <w:proofErr w:type="gramEnd"/>
      <w:r w:rsidR="00AA1386">
        <w:rPr>
          <w:rFonts w:eastAsia="標楷體" w:hint="eastAsia"/>
        </w:rPr>
        <w:t>清</w:t>
      </w:r>
      <w:r w:rsidR="006F3A64">
        <w:rPr>
          <w:rFonts w:eastAsia="標楷體" w:hint="eastAsia"/>
        </w:rPr>
        <w:t>在台灣</w:t>
      </w:r>
      <w:r w:rsidR="006F3A64" w:rsidRPr="006F3A64">
        <w:rPr>
          <w:rFonts w:eastAsia="標楷體" w:hint="eastAsia"/>
        </w:rPr>
        <w:t>慢性</w:t>
      </w:r>
      <w:r w:rsidR="006F3A64" w:rsidRPr="006F3A64">
        <w:rPr>
          <w:rFonts w:eastAsia="標楷體" w:hint="eastAsia"/>
        </w:rPr>
        <w:t>B</w:t>
      </w:r>
      <w:r w:rsidR="006F3A64" w:rsidRPr="006F3A64">
        <w:rPr>
          <w:rFonts w:eastAsia="標楷體" w:hint="eastAsia"/>
        </w:rPr>
        <w:t>型肝炎抗病毒治療</w:t>
      </w:r>
      <w:r w:rsidR="006F3A64">
        <w:rPr>
          <w:rFonts w:eastAsia="標楷體" w:hint="eastAsia"/>
        </w:rPr>
        <w:t>使用情形，並探討與</w:t>
      </w:r>
      <w:r w:rsidR="006F3A64" w:rsidRPr="006F3A64">
        <w:rPr>
          <w:rFonts w:eastAsia="標楷體" w:hint="eastAsia"/>
        </w:rPr>
        <w:t>肝臟相關疾病與死亡風險的關聯</w:t>
      </w:r>
      <w:r w:rsidR="006F3A64">
        <w:rPr>
          <w:rFonts w:eastAsia="標楷體" w:hint="eastAsia"/>
        </w:rPr>
        <w:t>性</w:t>
      </w:r>
    </w:p>
    <w:p w14:paraId="43AA63BC" w14:textId="77777777" w:rsidR="001B6C88" w:rsidRPr="00AA1386" w:rsidRDefault="001B6C88">
      <w:pPr>
        <w:tabs>
          <w:tab w:val="num" w:pos="826"/>
        </w:tabs>
        <w:spacing w:line="360" w:lineRule="exact"/>
        <w:ind w:leftChars="-5" w:left="2976" w:hangingChars="1245" w:hanging="2988"/>
        <w:rPr>
          <w:rFonts w:eastAsia="標楷體"/>
        </w:rPr>
      </w:pPr>
    </w:p>
    <w:p w14:paraId="7AC0FE42" w14:textId="77777777" w:rsidR="00B07BAC" w:rsidRPr="00B07BAC" w:rsidRDefault="001B6C88" w:rsidP="003142F5">
      <w:pPr>
        <w:rPr>
          <w:rFonts w:ascii="標楷體" w:eastAsia="標楷體" w:hAnsi="標楷體"/>
          <w:b/>
          <w:color w:val="000000"/>
        </w:rPr>
      </w:pPr>
      <w:proofErr w:type="gramStart"/>
      <w:r>
        <w:rPr>
          <w:rFonts w:ascii="標楷體" w:eastAsia="標楷體" w:hAnsi="標楷體" w:hint="eastAsia"/>
          <w:b/>
          <w:color w:val="000000"/>
        </w:rPr>
        <w:t>ㄧ</w:t>
      </w:r>
      <w:proofErr w:type="gramEnd"/>
      <w:r>
        <w:rPr>
          <w:rFonts w:ascii="標楷體" w:eastAsia="標楷體" w:hAnsi="標楷體" w:hint="eastAsia"/>
          <w:b/>
          <w:color w:val="000000"/>
        </w:rPr>
        <w:t>、試驗目的</w:t>
      </w:r>
      <w:r w:rsidR="00B07BAC" w:rsidRPr="00B07BAC">
        <w:rPr>
          <w:rFonts w:ascii="標楷體" w:eastAsia="標楷體" w:hAnsi="標楷體" w:hint="eastAsia"/>
          <w:b/>
          <w:color w:val="000000"/>
        </w:rPr>
        <w:t>：</w:t>
      </w:r>
    </w:p>
    <w:p w14:paraId="7B0A1831" w14:textId="3A780556" w:rsidR="00AA1386" w:rsidRPr="00AA1386" w:rsidRDefault="006F3A64" w:rsidP="00AA1386">
      <w:pPr>
        <w:numPr>
          <w:ilvl w:val="0"/>
          <w:numId w:val="5"/>
        </w:numPr>
        <w:rPr>
          <w:rFonts w:ascii="標楷體" w:eastAsia="標楷體" w:hAnsi="標楷體"/>
          <w:color w:val="000000"/>
        </w:rPr>
      </w:pPr>
      <w:r w:rsidRPr="006F3A64">
        <w:rPr>
          <w:rFonts w:ascii="標楷體" w:eastAsia="標楷體" w:hAnsi="標楷體" w:hint="eastAsia"/>
          <w:color w:val="000000"/>
        </w:rPr>
        <w:t>量化在台灣因為B</w:t>
      </w:r>
      <w:proofErr w:type="gramStart"/>
      <w:r w:rsidRPr="006F3A64">
        <w:rPr>
          <w:rFonts w:ascii="標楷體" w:eastAsia="標楷體" w:hAnsi="標楷體" w:hint="eastAsia"/>
          <w:color w:val="000000"/>
        </w:rPr>
        <w:t>肝抗病毒</w:t>
      </w:r>
      <w:proofErr w:type="gramEnd"/>
      <w:r w:rsidRPr="006F3A64">
        <w:rPr>
          <w:rFonts w:ascii="標楷體" w:eastAsia="標楷體" w:hAnsi="標楷體" w:hint="eastAsia"/>
          <w:color w:val="000000"/>
        </w:rPr>
        <w:t>治療未被充分利用與肝臟相關</w:t>
      </w:r>
      <w:proofErr w:type="gramStart"/>
      <w:r w:rsidRPr="006F3A64">
        <w:rPr>
          <w:rFonts w:ascii="標楷體" w:eastAsia="標楷體" w:hAnsi="標楷體" w:hint="eastAsia"/>
          <w:color w:val="000000"/>
        </w:rPr>
        <w:t>罹</w:t>
      </w:r>
      <w:proofErr w:type="gramEnd"/>
      <w:r w:rsidRPr="006F3A64">
        <w:rPr>
          <w:rFonts w:ascii="標楷體" w:eastAsia="標楷體" w:hAnsi="標楷體" w:hint="eastAsia"/>
          <w:color w:val="000000"/>
        </w:rPr>
        <w:t>病與死亡的關聯性</w:t>
      </w:r>
    </w:p>
    <w:p w14:paraId="4D4F15B2" w14:textId="77777777" w:rsidR="00AA1386" w:rsidRPr="00F85CE4" w:rsidRDefault="00AA1386" w:rsidP="00AA1386">
      <w:pPr>
        <w:ind w:left="480"/>
        <w:rPr>
          <w:rFonts w:ascii="標楷體" w:eastAsia="標楷體" w:hAnsi="標楷體"/>
          <w:color w:val="000000"/>
        </w:rPr>
      </w:pPr>
    </w:p>
    <w:p w14:paraId="6E003E47" w14:textId="77777777" w:rsidR="00B07BAC" w:rsidRPr="00B07BAC" w:rsidRDefault="00B07BAC" w:rsidP="003142F5">
      <w:pPr>
        <w:rPr>
          <w:rFonts w:ascii="標楷體" w:eastAsia="標楷體" w:hAnsi="標楷體"/>
          <w:b/>
          <w:color w:val="000000"/>
        </w:rPr>
      </w:pPr>
      <w:r w:rsidRPr="00B07BAC">
        <w:rPr>
          <w:rFonts w:ascii="標楷體" w:eastAsia="標楷體" w:hAnsi="標楷體" w:hint="eastAsia"/>
          <w:b/>
          <w:color w:val="000000"/>
        </w:rPr>
        <w:t>二、研究背景：</w:t>
      </w:r>
    </w:p>
    <w:p w14:paraId="42FA8D12" w14:textId="29DE4130" w:rsidR="00C73079" w:rsidRDefault="006F3A64" w:rsidP="003142F5">
      <w:pPr>
        <w:rPr>
          <w:rFonts w:ascii="標楷體" w:eastAsia="標楷體" w:hAnsi="標楷體"/>
          <w:color w:val="000000"/>
        </w:rPr>
      </w:pPr>
      <w:r w:rsidRPr="006F3A64">
        <w:rPr>
          <w:rFonts w:ascii="標楷體" w:eastAsia="標楷體" w:hAnsi="標楷體" w:hint="eastAsia"/>
          <w:color w:val="000000"/>
        </w:rPr>
        <w:t>慢性</w:t>
      </w:r>
      <w:r w:rsidRPr="006F3A64">
        <w:rPr>
          <w:rFonts w:ascii="標楷體" w:eastAsia="標楷體" w:hAnsi="標楷體"/>
          <w:color w:val="000000"/>
        </w:rPr>
        <w:t>B</w:t>
      </w:r>
      <w:r w:rsidRPr="006F3A64">
        <w:rPr>
          <w:rFonts w:ascii="標楷體" w:eastAsia="標楷體" w:hAnsi="標楷體" w:hint="eastAsia"/>
          <w:color w:val="000000"/>
        </w:rPr>
        <w:t>型肝炎是全球肝臟相關疾病和死亡的最主要病因，被核准的</w:t>
      </w:r>
      <w:r w:rsidRPr="006F3A64">
        <w:rPr>
          <w:rFonts w:ascii="標楷體" w:eastAsia="標楷體" w:hAnsi="標楷體"/>
          <w:color w:val="000000"/>
        </w:rPr>
        <w:t>B</w:t>
      </w:r>
      <w:proofErr w:type="gramStart"/>
      <w:r w:rsidRPr="006F3A64">
        <w:rPr>
          <w:rFonts w:ascii="標楷體" w:eastAsia="標楷體" w:hAnsi="標楷體" w:hint="eastAsia"/>
          <w:color w:val="000000"/>
        </w:rPr>
        <w:t>肝抗病毒</w:t>
      </w:r>
      <w:proofErr w:type="gramEnd"/>
      <w:r w:rsidRPr="006F3A64">
        <w:rPr>
          <w:rFonts w:ascii="標楷體" w:eastAsia="標楷體" w:hAnsi="標楷體" w:hint="eastAsia"/>
          <w:color w:val="000000"/>
        </w:rPr>
        <w:t>治療包括干擾素與核苷</w:t>
      </w:r>
      <w:r w:rsidRPr="006F3A64">
        <w:rPr>
          <w:rFonts w:ascii="標楷體" w:eastAsia="標楷體" w:hAnsi="標楷體"/>
          <w:color w:val="000000"/>
        </w:rPr>
        <w:t>(</w:t>
      </w:r>
      <w:r w:rsidRPr="006F3A64">
        <w:rPr>
          <w:rFonts w:ascii="標楷體" w:eastAsia="標楷體" w:hAnsi="標楷體" w:hint="eastAsia"/>
          <w:color w:val="000000"/>
        </w:rPr>
        <w:t>酸</w:t>
      </w:r>
      <w:r w:rsidRPr="006F3A64">
        <w:rPr>
          <w:rFonts w:ascii="標楷體" w:eastAsia="標楷體" w:hAnsi="標楷體"/>
          <w:color w:val="000000"/>
        </w:rPr>
        <w:t>)</w:t>
      </w:r>
      <w:r w:rsidRPr="006F3A64">
        <w:rPr>
          <w:rFonts w:ascii="標楷體" w:eastAsia="標楷體" w:hAnsi="標楷體" w:hint="eastAsia"/>
          <w:color w:val="000000"/>
        </w:rPr>
        <w:t>類似物，以往研究證實抗病毒治療可有效抑制病毒複製，並減少臨床事件諸如罹患肝細胞癌等風險；然而，各國對於抗病毒藥物適應症的規範並不相同，在台灣抗病毒治療使用情形也常受限於全民健康保險給付規定。臨床上，仍不時遇到</w:t>
      </w:r>
      <w:r w:rsidRPr="006F3A64">
        <w:rPr>
          <w:rFonts w:ascii="標楷體" w:eastAsia="標楷體" w:hAnsi="標楷體"/>
          <w:color w:val="000000"/>
        </w:rPr>
        <w:t>B</w:t>
      </w:r>
      <w:r w:rsidRPr="006F3A64">
        <w:rPr>
          <w:rFonts w:ascii="標楷體" w:eastAsia="標楷體" w:hAnsi="標楷體" w:hint="eastAsia"/>
          <w:color w:val="000000"/>
        </w:rPr>
        <w:t>肝患者病情已進展至肝癌或因肝病死亡，卻一直未曾接受抗病毒治療，</w:t>
      </w:r>
      <w:r w:rsidRPr="006F3A64">
        <w:rPr>
          <w:rFonts w:ascii="標楷體" w:eastAsia="標楷體" w:hAnsi="標楷體"/>
          <w:color w:val="000000"/>
        </w:rPr>
        <w:t>B</w:t>
      </w:r>
      <w:proofErr w:type="gramStart"/>
      <w:r w:rsidRPr="006F3A64">
        <w:rPr>
          <w:rFonts w:ascii="標楷體" w:eastAsia="標楷體" w:hAnsi="標楷體" w:hint="eastAsia"/>
          <w:color w:val="000000"/>
        </w:rPr>
        <w:t>肝抗病毒</w:t>
      </w:r>
      <w:proofErr w:type="gramEnd"/>
      <w:r w:rsidRPr="006F3A64">
        <w:rPr>
          <w:rFonts w:ascii="標楷體" w:eastAsia="標楷體" w:hAnsi="標楷體" w:hint="eastAsia"/>
          <w:color w:val="000000"/>
        </w:rPr>
        <w:t>治療未被充分使用與肝臟相關疾病與死亡風險的關聯性，迄今仍未被</w:t>
      </w:r>
      <w:proofErr w:type="gramStart"/>
      <w:r w:rsidRPr="006F3A64">
        <w:rPr>
          <w:rFonts w:ascii="標楷體" w:eastAsia="標楷體" w:hAnsi="標楷體" w:hint="eastAsia"/>
          <w:color w:val="000000"/>
        </w:rPr>
        <w:t>釐</w:t>
      </w:r>
      <w:proofErr w:type="gramEnd"/>
      <w:r w:rsidRPr="006F3A64">
        <w:rPr>
          <w:rFonts w:ascii="標楷體" w:eastAsia="標楷體" w:hAnsi="標楷體" w:hint="eastAsia"/>
          <w:color w:val="000000"/>
        </w:rPr>
        <w:t>清。</w:t>
      </w:r>
    </w:p>
    <w:p w14:paraId="4E77A175" w14:textId="77777777" w:rsidR="006F3A64" w:rsidRPr="00106D38" w:rsidRDefault="006F3A64" w:rsidP="003142F5">
      <w:pPr>
        <w:rPr>
          <w:rFonts w:ascii="標楷體" w:eastAsia="標楷體" w:hAnsi="標楷體"/>
          <w:b/>
          <w:color w:val="000000"/>
        </w:rPr>
      </w:pPr>
    </w:p>
    <w:p w14:paraId="2102C681" w14:textId="77777777" w:rsidR="00261B60" w:rsidRPr="00261B60" w:rsidRDefault="00261B60" w:rsidP="003142F5">
      <w:pPr>
        <w:rPr>
          <w:rFonts w:ascii="標楷體" w:eastAsia="標楷體" w:hAnsi="標楷體"/>
          <w:b/>
          <w:color w:val="000000"/>
        </w:rPr>
      </w:pPr>
      <w:r w:rsidRPr="00261B60">
        <w:rPr>
          <w:rFonts w:ascii="標楷體" w:eastAsia="標楷體" w:hAnsi="標楷體" w:hint="eastAsia"/>
          <w:b/>
          <w:color w:val="000000"/>
        </w:rPr>
        <w:t>三、研究方法：</w:t>
      </w:r>
    </w:p>
    <w:p w14:paraId="6B395764" w14:textId="67A06E87" w:rsidR="00261B60" w:rsidRPr="00AD1916" w:rsidRDefault="006F3A64" w:rsidP="006F3A64">
      <w:pPr>
        <w:jc w:val="both"/>
        <w:rPr>
          <w:rFonts w:eastAsia="標楷體"/>
          <w:color w:val="000000"/>
        </w:rPr>
      </w:pPr>
      <w:r w:rsidRPr="006F3A64">
        <w:rPr>
          <w:rFonts w:eastAsia="標楷體" w:hint="eastAsia"/>
          <w:color w:val="000000"/>
        </w:rPr>
        <w:t>本研究為回溯性世代研究，將分析衛生福利部全民健康保險資料庫，從</w:t>
      </w:r>
      <w:r w:rsidRPr="006F3A64">
        <w:rPr>
          <w:rFonts w:eastAsia="標楷體" w:hint="eastAsia"/>
          <w:color w:val="000000"/>
        </w:rPr>
        <w:t>2000</w:t>
      </w:r>
      <w:r w:rsidRPr="006F3A64">
        <w:rPr>
          <w:rFonts w:eastAsia="標楷體" w:hint="eastAsia"/>
          <w:color w:val="000000"/>
        </w:rPr>
        <w:t>年至</w:t>
      </w:r>
      <w:r w:rsidRPr="006F3A64">
        <w:rPr>
          <w:rFonts w:eastAsia="標楷體" w:hint="eastAsia"/>
          <w:color w:val="000000"/>
        </w:rPr>
        <w:t>2018</w:t>
      </w:r>
      <w:r w:rsidRPr="006F3A64">
        <w:rPr>
          <w:rFonts w:eastAsia="標楷體" w:hint="eastAsia"/>
          <w:color w:val="000000"/>
        </w:rPr>
        <w:t>年台灣全人口資料，找出全國慢性</w:t>
      </w:r>
      <w:r w:rsidRPr="006F3A64">
        <w:rPr>
          <w:rFonts w:eastAsia="標楷體" w:hint="eastAsia"/>
          <w:color w:val="000000"/>
        </w:rPr>
        <w:t>B</w:t>
      </w:r>
      <w:r w:rsidRPr="006F3A64">
        <w:rPr>
          <w:rFonts w:eastAsia="標楷體" w:hint="eastAsia"/>
          <w:color w:val="000000"/>
        </w:rPr>
        <w:t>型肝炎患者（定義為特定疾病診斷碼與血清病毒學檢驗），根據抗病毒治療與否，分成下列組別：從未接受抗病毒治療者、僅接受過干擾素治療、僅接受過口服抗病毒藥物治療，以及接受過干擾素與口服藥物等四組，進行回溯分析。</w:t>
      </w:r>
      <w:r>
        <w:rPr>
          <w:rFonts w:eastAsia="標楷體" w:hint="eastAsia"/>
          <w:color w:val="000000"/>
        </w:rPr>
        <w:t>納入標準為</w:t>
      </w:r>
      <w:r w:rsidRPr="006F3A64">
        <w:rPr>
          <w:rFonts w:eastAsia="標楷體" w:hint="eastAsia"/>
          <w:color w:val="000000"/>
        </w:rPr>
        <w:t>成年</w:t>
      </w:r>
      <w:r>
        <w:rPr>
          <w:rFonts w:eastAsia="標楷體" w:hint="eastAsia"/>
          <w:color w:val="000000"/>
        </w:rPr>
        <w:t>(</w:t>
      </w:r>
      <w:r w:rsidRPr="006F3A64">
        <w:rPr>
          <w:rFonts w:eastAsia="標楷體" w:hint="eastAsia"/>
          <w:color w:val="000000"/>
        </w:rPr>
        <w:t>定義為年齡</w:t>
      </w:r>
      <w:r w:rsidRPr="006F3A64">
        <w:rPr>
          <w:rFonts w:eastAsia="標楷體" w:hint="eastAsia"/>
          <w:color w:val="000000"/>
        </w:rPr>
        <w:t>&gt; 18</w:t>
      </w:r>
      <w:r w:rsidRPr="006F3A64">
        <w:rPr>
          <w:rFonts w:eastAsia="標楷體" w:hint="eastAsia"/>
          <w:color w:val="000000"/>
        </w:rPr>
        <w:t>歲</w:t>
      </w:r>
      <w:r>
        <w:rPr>
          <w:rFonts w:eastAsia="標楷體" w:hint="eastAsia"/>
          <w:color w:val="000000"/>
        </w:rPr>
        <w:t>)</w:t>
      </w:r>
      <w:r>
        <w:rPr>
          <w:rFonts w:eastAsia="標楷體" w:hint="eastAsia"/>
          <w:color w:val="000000"/>
        </w:rPr>
        <w:t>、</w:t>
      </w:r>
      <w:r w:rsidRPr="006F3A64">
        <w:rPr>
          <w:rFonts w:eastAsia="標楷體" w:hint="eastAsia"/>
          <w:color w:val="000000"/>
        </w:rPr>
        <w:t>由血清學檢驗確定</w:t>
      </w:r>
      <w:r w:rsidRPr="006F3A64">
        <w:rPr>
          <w:rFonts w:eastAsia="標楷體" w:hint="eastAsia"/>
          <w:color w:val="000000"/>
        </w:rPr>
        <w:t>B</w:t>
      </w:r>
      <w:r w:rsidRPr="006F3A64">
        <w:rPr>
          <w:rFonts w:eastAsia="標楷體" w:hint="eastAsia"/>
          <w:color w:val="000000"/>
        </w:rPr>
        <w:t>型肝炎感染</w:t>
      </w:r>
      <w:r>
        <w:rPr>
          <w:rFonts w:eastAsia="標楷體" w:hint="eastAsia"/>
          <w:color w:val="000000"/>
        </w:rPr>
        <w:t>、</w:t>
      </w:r>
      <w:r w:rsidRPr="006F3A64">
        <w:rPr>
          <w:rFonts w:eastAsia="標楷體" w:hint="eastAsia"/>
          <w:color w:val="000000"/>
        </w:rPr>
        <w:t>肝臟相關疾病與死亡，包括肝癌、肝功能不全引起的併發症，</w:t>
      </w:r>
      <w:proofErr w:type="gramStart"/>
      <w:r w:rsidRPr="006F3A64">
        <w:rPr>
          <w:rFonts w:eastAsia="標楷體" w:hint="eastAsia"/>
          <w:color w:val="000000"/>
        </w:rPr>
        <w:t>例如肝性腦</w:t>
      </w:r>
      <w:proofErr w:type="gramEnd"/>
      <w:r w:rsidRPr="006F3A64">
        <w:rPr>
          <w:rFonts w:eastAsia="標楷體" w:hint="eastAsia"/>
          <w:color w:val="000000"/>
        </w:rPr>
        <w:t>病，靜脈曲張破裂出血，難治性腹水或</w:t>
      </w:r>
      <w:proofErr w:type="gramStart"/>
      <w:r w:rsidRPr="006F3A64">
        <w:rPr>
          <w:rFonts w:eastAsia="標楷體" w:hint="eastAsia"/>
          <w:color w:val="000000"/>
        </w:rPr>
        <w:t>慢性肝</w:t>
      </w:r>
      <w:proofErr w:type="gramEnd"/>
      <w:r w:rsidRPr="006F3A64">
        <w:rPr>
          <w:rFonts w:eastAsia="標楷體" w:hint="eastAsia"/>
          <w:color w:val="000000"/>
        </w:rPr>
        <w:t>衰竭急性發作，</w:t>
      </w:r>
      <w:proofErr w:type="gramStart"/>
      <w:r w:rsidRPr="006F3A64">
        <w:rPr>
          <w:rFonts w:eastAsia="標楷體" w:hint="eastAsia"/>
          <w:color w:val="000000"/>
        </w:rPr>
        <w:t>以及與肝有關</w:t>
      </w:r>
      <w:proofErr w:type="gramEnd"/>
      <w:r w:rsidRPr="006F3A64">
        <w:rPr>
          <w:rFonts w:eastAsia="標楷體" w:hint="eastAsia"/>
          <w:color w:val="000000"/>
        </w:rPr>
        <w:t>的死亡率（由死亡登記證明）</w:t>
      </w:r>
      <w:r>
        <w:rPr>
          <w:rFonts w:eastAsia="標楷體" w:hint="eastAsia"/>
          <w:color w:val="000000"/>
        </w:rPr>
        <w:t>；</w:t>
      </w:r>
      <w:r w:rsidRPr="006F3A64">
        <w:rPr>
          <w:rFonts w:eastAsia="標楷體" w:hint="eastAsia"/>
          <w:color w:val="000000"/>
        </w:rPr>
        <w:t>排除</w:t>
      </w:r>
      <w:r>
        <w:rPr>
          <w:rFonts w:eastAsia="標楷體" w:hint="eastAsia"/>
          <w:color w:val="000000"/>
        </w:rPr>
        <w:t>對象為</w:t>
      </w:r>
      <w:r w:rsidRPr="006F3A64">
        <w:rPr>
          <w:rFonts w:eastAsia="標楷體" w:hint="eastAsia"/>
          <w:color w:val="000000"/>
        </w:rPr>
        <w:t>無法確認慢性</w:t>
      </w:r>
      <w:r w:rsidRPr="006F3A64">
        <w:rPr>
          <w:rFonts w:eastAsia="標楷體" w:hint="eastAsia"/>
          <w:color w:val="000000"/>
        </w:rPr>
        <w:t>B</w:t>
      </w:r>
      <w:r w:rsidRPr="006F3A64">
        <w:rPr>
          <w:rFonts w:eastAsia="標楷體" w:hint="eastAsia"/>
          <w:color w:val="000000"/>
        </w:rPr>
        <w:t>型肝炎狀態</w:t>
      </w:r>
      <w:r w:rsidRPr="006F3A64">
        <w:rPr>
          <w:rFonts w:eastAsia="標楷體" w:hint="eastAsia"/>
          <w:color w:val="000000"/>
        </w:rPr>
        <w:t>(</w:t>
      </w:r>
      <w:r w:rsidRPr="006F3A64">
        <w:rPr>
          <w:rFonts w:eastAsia="標楷體" w:hint="eastAsia"/>
          <w:color w:val="000000"/>
        </w:rPr>
        <w:t>經由血清學檢驗、是否加入監測計劃、是否使用抗病毒治療，或特定診斷代碼來確認</w:t>
      </w:r>
      <w:r w:rsidRPr="006F3A64">
        <w:rPr>
          <w:rFonts w:eastAsia="標楷體" w:hint="eastAsia"/>
          <w:color w:val="000000"/>
        </w:rPr>
        <w:t>)</w:t>
      </w:r>
      <w:r>
        <w:rPr>
          <w:rFonts w:eastAsia="標楷體" w:hint="eastAsia"/>
          <w:color w:val="000000"/>
        </w:rPr>
        <w:t>，</w:t>
      </w:r>
      <w:r w:rsidRPr="006F3A64">
        <w:rPr>
          <w:rFonts w:eastAsia="標楷體" w:hint="eastAsia"/>
          <w:color w:val="000000"/>
        </w:rPr>
        <w:t>同時</w:t>
      </w:r>
      <w:proofErr w:type="gramStart"/>
      <w:r w:rsidRPr="006F3A64">
        <w:rPr>
          <w:rFonts w:eastAsia="標楷體" w:hint="eastAsia"/>
          <w:color w:val="000000"/>
        </w:rPr>
        <w:t>罹</w:t>
      </w:r>
      <w:proofErr w:type="gramEnd"/>
      <w:r w:rsidRPr="006F3A64">
        <w:rPr>
          <w:rFonts w:eastAsia="標楷體" w:hint="eastAsia"/>
          <w:color w:val="000000"/>
        </w:rPr>
        <w:t>患丙型肝炎</w:t>
      </w:r>
      <w:r>
        <w:rPr>
          <w:rFonts w:eastAsia="標楷體" w:hint="eastAsia"/>
          <w:color w:val="000000"/>
        </w:rPr>
        <w:t>，或</w:t>
      </w:r>
      <w:r w:rsidRPr="006F3A64">
        <w:rPr>
          <w:rFonts w:eastAsia="標楷體" w:hint="eastAsia"/>
          <w:color w:val="000000"/>
        </w:rPr>
        <w:t>同時</w:t>
      </w:r>
      <w:proofErr w:type="gramStart"/>
      <w:r w:rsidRPr="006F3A64">
        <w:rPr>
          <w:rFonts w:eastAsia="標楷體" w:hint="eastAsia"/>
          <w:color w:val="000000"/>
        </w:rPr>
        <w:t>罹</w:t>
      </w:r>
      <w:proofErr w:type="gramEnd"/>
      <w:r w:rsidRPr="006F3A64">
        <w:rPr>
          <w:rFonts w:eastAsia="標楷體" w:hint="eastAsia"/>
          <w:color w:val="000000"/>
        </w:rPr>
        <w:t>患人類免疫缺陷病毒感染的患者</w:t>
      </w:r>
    </w:p>
    <w:p w14:paraId="11DA918B" w14:textId="77777777" w:rsidR="00261B60" w:rsidRPr="00AD1916" w:rsidRDefault="00261B60" w:rsidP="00261B60">
      <w:pPr>
        <w:rPr>
          <w:rFonts w:eastAsia="標楷體"/>
          <w:color w:val="000000"/>
        </w:rPr>
      </w:pPr>
    </w:p>
    <w:p w14:paraId="090E2F6E" w14:textId="7FECB7E9" w:rsidR="00387823" w:rsidRPr="00106D38" w:rsidRDefault="00B07BAC" w:rsidP="00106D38">
      <w:pPr>
        <w:rPr>
          <w:rFonts w:ascii="標楷體" w:eastAsia="標楷體" w:hAnsi="標楷體"/>
          <w:bCs/>
          <w:noProof/>
        </w:rPr>
        <w:sectPr w:rsidR="00387823" w:rsidRPr="00106D38">
          <w:pgSz w:w="11906" w:h="16838"/>
          <w:pgMar w:top="1440" w:right="1800" w:bottom="1440" w:left="1800" w:header="851" w:footer="992" w:gutter="0"/>
          <w:cols w:space="425"/>
          <w:docGrid w:type="lines" w:linePitch="360"/>
        </w:sectPr>
      </w:pPr>
      <w:r w:rsidRPr="00261B60">
        <w:rPr>
          <w:rFonts w:ascii="標楷體" w:eastAsia="標楷體" w:hAnsi="標楷體" w:hint="eastAsia"/>
          <w:b/>
          <w:bCs/>
          <w:noProof/>
        </w:rPr>
        <w:t>關鍵詞:</w:t>
      </w:r>
      <w:r w:rsidR="008E62B2" w:rsidRPr="00261B60">
        <w:rPr>
          <w:rFonts w:ascii="標楷體" w:eastAsia="標楷體" w:hAnsi="標楷體" w:hint="eastAsia"/>
          <w:bCs/>
          <w:noProof/>
        </w:rPr>
        <w:t>慢性</w:t>
      </w:r>
      <w:r w:rsidR="006F3A64">
        <w:rPr>
          <w:rFonts w:ascii="標楷體" w:eastAsia="標楷體" w:hAnsi="標楷體" w:hint="eastAsia"/>
          <w:bCs/>
          <w:noProof/>
        </w:rPr>
        <w:t>B</w:t>
      </w:r>
      <w:r w:rsidR="001B6C88">
        <w:rPr>
          <w:rFonts w:ascii="標楷體" w:eastAsia="標楷體" w:hAnsi="標楷體" w:hint="eastAsia"/>
          <w:bCs/>
          <w:noProof/>
        </w:rPr>
        <w:t>性</w:t>
      </w:r>
      <w:r w:rsidR="00782894">
        <w:rPr>
          <w:rFonts w:ascii="標楷體" w:eastAsia="標楷體" w:hAnsi="標楷體" w:hint="eastAsia"/>
          <w:bCs/>
          <w:noProof/>
        </w:rPr>
        <w:t>肝炎；</w:t>
      </w:r>
      <w:r w:rsidR="006F3A64">
        <w:rPr>
          <w:rFonts w:ascii="標楷體" w:eastAsia="標楷體" w:hAnsi="標楷體" w:hint="eastAsia"/>
          <w:bCs/>
          <w:noProof/>
        </w:rPr>
        <w:t>抗病毒治療</w:t>
      </w:r>
      <w:r w:rsidR="00106D38">
        <w:rPr>
          <w:rFonts w:ascii="標楷體" w:eastAsia="標楷體" w:hAnsi="標楷體" w:hint="eastAsia"/>
          <w:bCs/>
          <w:noProof/>
        </w:rPr>
        <w:t>；</w:t>
      </w:r>
      <w:r w:rsidR="006F3A64">
        <w:rPr>
          <w:rFonts w:ascii="標楷體" w:eastAsia="標楷體" w:hAnsi="標楷體" w:hint="eastAsia"/>
          <w:bCs/>
          <w:noProof/>
        </w:rPr>
        <w:t>真實世界效益分析</w:t>
      </w:r>
    </w:p>
    <w:p w14:paraId="003E4FB4" w14:textId="77777777" w:rsidR="00F552D7" w:rsidRDefault="00F552D7" w:rsidP="00D1172B">
      <w:pPr>
        <w:widowControl/>
        <w:tabs>
          <w:tab w:val="left" w:pos="-28"/>
        </w:tabs>
        <w:kinsoku w:val="0"/>
        <w:spacing w:line="360" w:lineRule="auto"/>
        <w:jc w:val="both"/>
        <w:textAlignment w:val="bottom"/>
        <w:rPr>
          <w:rFonts w:ascii="標楷體" w:eastAsia="標楷體" w:hAnsi="標楷體"/>
          <w:b/>
          <w:color w:val="000000"/>
        </w:rPr>
      </w:pPr>
      <w:r>
        <w:rPr>
          <w:rFonts w:ascii="標楷體" w:eastAsia="標楷體" w:hAnsi="標楷體" w:hint="eastAsia"/>
          <w:b/>
          <w:color w:val="000000"/>
        </w:rPr>
        <w:lastRenderedPageBreak/>
        <w:t>研究計畫目的及背景說明</w:t>
      </w:r>
    </w:p>
    <w:p w14:paraId="0342363D" w14:textId="77777777" w:rsidR="006F3A64" w:rsidRDefault="006F3A64" w:rsidP="005A19AB">
      <w:pPr>
        <w:spacing w:line="360" w:lineRule="auto"/>
        <w:jc w:val="both"/>
        <w:rPr>
          <w:rFonts w:cs="標楷體"/>
          <w:color w:val="000000"/>
          <w:szCs w:val="28"/>
        </w:rPr>
      </w:pPr>
      <w:r w:rsidRPr="006F3A64">
        <w:rPr>
          <w:rFonts w:cs="標楷體"/>
          <w:color w:val="000000"/>
          <w:szCs w:val="28"/>
        </w:rPr>
        <w:t>Consistent data from randomized controlled trials, real-world cohort studies, and laboratory experiments have demonstrated that antiviral therapy is effective to improve outcomes in patients with chronic hepatitis B (CHB).</w:t>
      </w:r>
      <w:r w:rsidRPr="006F3A64">
        <w:rPr>
          <w:rFonts w:cs="標楷體"/>
          <w:color w:val="000000"/>
          <w:szCs w:val="28"/>
          <w:vertAlign w:val="superscript"/>
        </w:rPr>
        <w:t>1, 2</w:t>
      </w:r>
      <w:r w:rsidRPr="006F3A64">
        <w:rPr>
          <w:rFonts w:cs="標楷體"/>
          <w:color w:val="000000"/>
          <w:szCs w:val="28"/>
        </w:rPr>
        <w:t xml:space="preserve"> Nonetheless, several lines of evidence suggest that antiviral treatment for CHB is currently underutilized in Taiwan where hepatocellular carcinoma (HCC) and hepatic failure remain the major causes of death.</w:t>
      </w:r>
      <w:r w:rsidRPr="006F3A64">
        <w:rPr>
          <w:rFonts w:cs="標楷體"/>
          <w:color w:val="000000"/>
          <w:szCs w:val="28"/>
          <w:vertAlign w:val="superscript"/>
        </w:rPr>
        <w:t>3</w:t>
      </w:r>
      <w:r w:rsidRPr="006F3A64">
        <w:rPr>
          <w:rFonts w:cs="標楷體"/>
          <w:color w:val="000000"/>
          <w:szCs w:val="28"/>
        </w:rPr>
        <w:t xml:space="preserve"> For instance, hepatitis B virus (HBV) infection has continued to be the leading etiology of HCC without changes in trend over time after antiviral treatment for CHB was reimbursed for by the national health insurance since 2003. The number of HBV-related HCCs remained invariably high with more than 3,500 new cases diagnosed every year in recent statistics update although the age-adjusted incidence might appear to decline. </w:t>
      </w:r>
    </w:p>
    <w:p w14:paraId="6C1AB167" w14:textId="77777777" w:rsidR="006F3A64" w:rsidRDefault="006F3A64" w:rsidP="005A19AB">
      <w:pPr>
        <w:spacing w:line="360" w:lineRule="auto"/>
        <w:jc w:val="both"/>
        <w:rPr>
          <w:rFonts w:cs="標楷體"/>
          <w:color w:val="000000"/>
          <w:szCs w:val="28"/>
        </w:rPr>
      </w:pPr>
    </w:p>
    <w:p w14:paraId="4F086ECA" w14:textId="77777777" w:rsidR="006F3A64" w:rsidRDefault="006F3A64" w:rsidP="005A19AB">
      <w:pPr>
        <w:spacing w:line="360" w:lineRule="auto"/>
        <w:jc w:val="both"/>
        <w:rPr>
          <w:rFonts w:cs="標楷體"/>
          <w:color w:val="000000"/>
          <w:szCs w:val="28"/>
        </w:rPr>
      </w:pPr>
      <w:r w:rsidRPr="006F3A64">
        <w:rPr>
          <w:rFonts w:cs="標楷體"/>
          <w:color w:val="000000"/>
          <w:szCs w:val="28"/>
        </w:rPr>
        <w:t xml:space="preserve">Moreover, among the 2 million patients with CHB in Taiwan, less than one tenth (n=138,261 as of August 09, 2020 according to the bureau of national health insurance) are currently treated with antiviral therapy. In clinical practice, it is not uncommon to find CHB patients who progress to HCC, hepatic decompensation with clinical complications, or even liver-related death without having received antiviral therapy which could have prevented the progression. </w:t>
      </w:r>
    </w:p>
    <w:p w14:paraId="3B5304AE" w14:textId="77777777" w:rsidR="006F3A64" w:rsidRDefault="006F3A64" w:rsidP="005A19AB">
      <w:pPr>
        <w:spacing w:line="360" w:lineRule="auto"/>
        <w:jc w:val="both"/>
        <w:rPr>
          <w:rFonts w:cs="標楷體"/>
          <w:color w:val="000000"/>
          <w:szCs w:val="28"/>
        </w:rPr>
      </w:pPr>
    </w:p>
    <w:p w14:paraId="2B704403" w14:textId="118F2389" w:rsidR="00F85CE4" w:rsidRDefault="006F3A64" w:rsidP="005A19AB">
      <w:pPr>
        <w:spacing w:line="360" w:lineRule="auto"/>
        <w:jc w:val="both"/>
        <w:rPr>
          <w:rFonts w:eastAsia="標楷體"/>
          <w:kern w:val="0"/>
        </w:rPr>
      </w:pPr>
      <w:r w:rsidRPr="006F3A64">
        <w:rPr>
          <w:rFonts w:cs="標楷體"/>
          <w:color w:val="000000"/>
          <w:szCs w:val="28"/>
        </w:rPr>
        <w:t>The magnitude of underutilization, however, remains unclear in Taiwan. Furthermore, it needs to be clarified how the underutilization of CHB treatment is associated with excessive risks of liver-related mortality and morbidity at a population level. These findings will reveal gaps in the current practice where the opportunities to prevent adverse outcomes were missed and may thus inform healthcare policymaking to improve the linkage to care.</w:t>
      </w:r>
      <w:r w:rsidR="0048695D">
        <w:rPr>
          <w:rFonts w:cs="標楷體"/>
          <w:color w:val="000000"/>
          <w:szCs w:val="28"/>
        </w:rPr>
        <w:t xml:space="preserve"> </w:t>
      </w:r>
    </w:p>
    <w:p w14:paraId="0CEDF159" w14:textId="77777777" w:rsidR="006848D2" w:rsidRDefault="006848D2" w:rsidP="00D1172B">
      <w:pPr>
        <w:spacing w:line="360" w:lineRule="auto"/>
        <w:jc w:val="both"/>
        <w:rPr>
          <w:rFonts w:eastAsia="標楷體"/>
          <w:kern w:val="0"/>
        </w:rPr>
      </w:pPr>
    </w:p>
    <w:p w14:paraId="74913991" w14:textId="0E2385CE" w:rsidR="006F3A64" w:rsidRPr="006F3A64" w:rsidRDefault="00D1172B" w:rsidP="006F3A64">
      <w:pPr>
        <w:spacing w:line="360" w:lineRule="auto"/>
        <w:jc w:val="both"/>
        <w:rPr>
          <w:rFonts w:eastAsia="標楷體"/>
          <w:b/>
          <w:bCs/>
          <w:kern w:val="0"/>
        </w:rPr>
      </w:pPr>
      <w:r w:rsidRPr="00D1172B">
        <w:rPr>
          <w:rFonts w:eastAsia="標楷體" w:hint="eastAsia"/>
          <w:b/>
          <w:kern w:val="0"/>
        </w:rPr>
        <w:t>研究</w:t>
      </w:r>
      <w:r w:rsidR="006F3A64">
        <w:rPr>
          <w:rFonts w:eastAsia="標楷體" w:hint="eastAsia"/>
          <w:b/>
          <w:kern w:val="0"/>
        </w:rPr>
        <w:t>假設</w:t>
      </w:r>
    </w:p>
    <w:p w14:paraId="025A573B" w14:textId="77777777" w:rsidR="006F3A64" w:rsidRPr="006F3A64" w:rsidRDefault="006F3A64" w:rsidP="006F3A64">
      <w:pPr>
        <w:spacing w:line="360" w:lineRule="auto"/>
        <w:jc w:val="both"/>
        <w:rPr>
          <w:rFonts w:eastAsia="標楷體"/>
          <w:kern w:val="0"/>
        </w:rPr>
      </w:pPr>
      <w:r w:rsidRPr="006F3A64">
        <w:rPr>
          <w:rFonts w:eastAsia="標楷體"/>
          <w:kern w:val="0"/>
        </w:rPr>
        <w:t>Antiviral therapy for chronic hepatitis B is underutilized and is associated with excessive risks of liver-related morbidity and mortality in Taiwan</w:t>
      </w:r>
    </w:p>
    <w:p w14:paraId="5ED1271B" w14:textId="77777777" w:rsidR="006F3A64" w:rsidRPr="006F3A64" w:rsidRDefault="006F3A64" w:rsidP="006F3A64">
      <w:pPr>
        <w:spacing w:line="360" w:lineRule="auto"/>
        <w:jc w:val="both"/>
        <w:rPr>
          <w:rFonts w:eastAsia="標楷體"/>
          <w:kern w:val="0"/>
        </w:rPr>
      </w:pPr>
    </w:p>
    <w:p w14:paraId="18D62B41" w14:textId="4BEEC65C" w:rsidR="006F3A64" w:rsidRPr="006F3A64" w:rsidRDefault="006F3A64" w:rsidP="006F3A64">
      <w:pPr>
        <w:spacing w:line="360" w:lineRule="auto"/>
        <w:jc w:val="both"/>
        <w:rPr>
          <w:rFonts w:eastAsia="標楷體"/>
          <w:b/>
          <w:bCs/>
          <w:kern w:val="0"/>
        </w:rPr>
      </w:pPr>
      <w:r>
        <w:rPr>
          <w:rFonts w:eastAsia="標楷體" w:hint="eastAsia"/>
          <w:b/>
          <w:bCs/>
          <w:kern w:val="0"/>
        </w:rPr>
        <w:t>主要目標</w:t>
      </w:r>
    </w:p>
    <w:p w14:paraId="6B460B11" w14:textId="77777777" w:rsidR="006F3A64" w:rsidRPr="006F3A64" w:rsidRDefault="006F3A64" w:rsidP="006F3A64">
      <w:pPr>
        <w:spacing w:line="360" w:lineRule="auto"/>
        <w:jc w:val="both"/>
        <w:rPr>
          <w:rFonts w:eastAsia="標楷體"/>
          <w:kern w:val="0"/>
        </w:rPr>
      </w:pPr>
      <w:r w:rsidRPr="006F3A64">
        <w:rPr>
          <w:rFonts w:eastAsia="標楷體"/>
          <w:kern w:val="0"/>
        </w:rPr>
        <w:t>To quantify the “missed opportunities” in preventing liver-related mortality and morbidity in Taiwan because of underutilization of antiviral treatment for CHB</w:t>
      </w:r>
    </w:p>
    <w:p w14:paraId="79237CB0" w14:textId="77777777" w:rsidR="006F3A64" w:rsidRPr="006F3A64" w:rsidRDefault="006F3A64" w:rsidP="006F3A64">
      <w:pPr>
        <w:spacing w:line="360" w:lineRule="auto"/>
        <w:jc w:val="both"/>
        <w:rPr>
          <w:rFonts w:eastAsia="標楷體"/>
          <w:b/>
          <w:bCs/>
          <w:kern w:val="0"/>
        </w:rPr>
      </w:pPr>
    </w:p>
    <w:p w14:paraId="61737355" w14:textId="71DB5375" w:rsidR="006F3A64" w:rsidRPr="006F3A64" w:rsidRDefault="006F3A64" w:rsidP="006F3A64">
      <w:pPr>
        <w:spacing w:line="360" w:lineRule="auto"/>
        <w:jc w:val="both"/>
        <w:rPr>
          <w:rFonts w:eastAsia="標楷體"/>
          <w:b/>
          <w:bCs/>
          <w:kern w:val="0"/>
        </w:rPr>
      </w:pPr>
      <w:r>
        <w:rPr>
          <w:rFonts w:eastAsia="標楷體" w:hint="eastAsia"/>
          <w:b/>
          <w:bCs/>
          <w:kern w:val="0"/>
        </w:rPr>
        <w:t>次要目標</w:t>
      </w:r>
    </w:p>
    <w:p w14:paraId="4D919E83" w14:textId="061D9CD4" w:rsidR="006F3A64" w:rsidRPr="006F3A64" w:rsidRDefault="006F3A64" w:rsidP="006F3A64">
      <w:pPr>
        <w:spacing w:line="360" w:lineRule="auto"/>
        <w:jc w:val="both"/>
        <w:rPr>
          <w:rFonts w:eastAsia="標楷體"/>
          <w:kern w:val="0"/>
        </w:rPr>
      </w:pPr>
      <w:r w:rsidRPr="006F3A64">
        <w:rPr>
          <w:rFonts w:eastAsia="標楷體"/>
          <w:kern w:val="0"/>
        </w:rPr>
        <w:t xml:space="preserve">- To clarify the major causes for not having received antiviral therapy before CHB patients develop clinical complications </w:t>
      </w:r>
    </w:p>
    <w:p w14:paraId="729C5F82" w14:textId="39162517" w:rsidR="00F552D7" w:rsidRDefault="006F3A64" w:rsidP="006F3A64">
      <w:pPr>
        <w:spacing w:line="360" w:lineRule="auto"/>
        <w:jc w:val="both"/>
        <w:rPr>
          <w:rFonts w:eastAsia="標楷體"/>
          <w:kern w:val="0"/>
        </w:rPr>
      </w:pPr>
      <w:r w:rsidRPr="006F3A64">
        <w:rPr>
          <w:rFonts w:eastAsia="標楷體"/>
          <w:kern w:val="0"/>
        </w:rPr>
        <w:t>- To model how many events (HCC, hepatic decompensation, deaths) might have been prevented if a certain portion (a tuning parameter) of these patients had been given antiviral treatment</w:t>
      </w:r>
      <w:r w:rsidR="006848D2">
        <w:rPr>
          <w:rFonts w:eastAsia="標楷體"/>
          <w:kern w:val="0"/>
        </w:rPr>
        <w:t xml:space="preserve"> </w:t>
      </w:r>
    </w:p>
    <w:p w14:paraId="2199C66A" w14:textId="77777777" w:rsidR="006F3A64" w:rsidRDefault="006F3A64" w:rsidP="006F3A64">
      <w:pPr>
        <w:spacing w:line="360" w:lineRule="auto"/>
        <w:jc w:val="both"/>
        <w:rPr>
          <w:color w:val="000000"/>
        </w:rPr>
      </w:pPr>
    </w:p>
    <w:p w14:paraId="7408F2AA" w14:textId="77777777" w:rsidR="00F552D7" w:rsidRDefault="00F552D7" w:rsidP="00D1172B">
      <w:pPr>
        <w:widowControl/>
        <w:kinsoku w:val="0"/>
        <w:spacing w:line="360" w:lineRule="auto"/>
        <w:ind w:left="567" w:hanging="482"/>
        <w:jc w:val="both"/>
        <w:textAlignment w:val="bottom"/>
        <w:rPr>
          <w:rFonts w:ascii="標楷體" w:eastAsia="標楷體" w:hAnsi="標楷體"/>
          <w:b/>
          <w:color w:val="000000"/>
        </w:rPr>
      </w:pPr>
      <w:r>
        <w:rPr>
          <w:rFonts w:ascii="標楷體" w:eastAsia="標楷體" w:hAnsi="標楷體" w:hint="eastAsia"/>
          <w:b/>
          <w:color w:val="000000"/>
        </w:rPr>
        <w:t>研究方法及步驟：</w:t>
      </w:r>
    </w:p>
    <w:p w14:paraId="3C70F8B1" w14:textId="77777777" w:rsidR="006F3A64" w:rsidRPr="00911926" w:rsidRDefault="006F3A64" w:rsidP="006F3A64">
      <w:pPr>
        <w:jc w:val="both"/>
      </w:pPr>
      <w:r w:rsidRPr="00911926">
        <w:t xml:space="preserve">This is a nationwide population-based study that covers the entire Taiwanese population. We will analyze national healthcare databases that include health insurance research database, cancer registry, death certificate, and other vital statistics if applicable. Data contained in these databases are comprehensive and reliable not only because the national health insurance in Taiwan is compulsory and universal but also because certain policies such as the cancer control act and waiving patient copayment for catastrophic illness require data inspection and audition that help confirm accuracy of the recorded data. Besides, we have acquired accessibility to the registries of the surveillance program for patients with chronic viral hepatitis and the list of patients reimbursed for antiviral therapy over the years (since 2003). Moreover, through collaboration with the internal researchers inside the National Health Insurance Administration Ministry of Health and Welfare, we are now able to analyze data of laboratory results that were collected along with the healthcare service since </w:t>
      </w:r>
      <w:r w:rsidRPr="00911926">
        <w:lastRenderedPageBreak/>
        <w:t xml:space="preserve">2016. Such data that include serum liver enzymes, viral serology (e.g., hepatitis B surface antigen, i.e., HBsAg, status), and measurements of viremia have been verified in our prior preliminary work. In short, familiarity with and accessibility to the aforementioned databases enable us to investigate our research questions with valid data at a nationwide scale. </w:t>
      </w:r>
    </w:p>
    <w:p w14:paraId="55017EE2" w14:textId="77777777" w:rsidR="006F3A64" w:rsidRPr="00911926" w:rsidRDefault="006F3A64" w:rsidP="006F3A64">
      <w:pPr>
        <w:jc w:val="both"/>
      </w:pPr>
    </w:p>
    <w:p w14:paraId="356D831D" w14:textId="77777777" w:rsidR="006F3A64" w:rsidRPr="00911926" w:rsidRDefault="006F3A64" w:rsidP="006F3A64">
      <w:pPr>
        <w:jc w:val="both"/>
      </w:pPr>
      <w:r w:rsidRPr="00911926">
        <w:t xml:space="preserve">To achieve our goals, first we will identify all patients who develop HCC, encounter the first episode of clinical complications as result of decompensated cirrhosis, first admission for acute on chronic liver failure, and liver-related mortality every year from 2004 to 2018 (the most updated data). Then these patients were classified as having CHB or not, which will be defined by HBsAg status (if available), enrollment in the surveillance program for chronic viral hepatitis, registry in the reimbursement list for antiviral therapy, or specific diagnostic code for CHB. For those patients who had not been tested for HBsAg status and was not diagnosed with HBV infection until occurrence of the aforementioned clinical events, we assume these patients had CHB because the vast majority of Taiwanese patients with CHB acquire HBV infection through vertical transmission or in infancy. </w:t>
      </w:r>
    </w:p>
    <w:p w14:paraId="454BAF4D" w14:textId="77777777" w:rsidR="006F3A64" w:rsidRPr="00911926" w:rsidRDefault="006F3A64" w:rsidP="006F3A64">
      <w:pPr>
        <w:jc w:val="both"/>
      </w:pPr>
    </w:p>
    <w:p w14:paraId="6A6A2CFE" w14:textId="77777777" w:rsidR="006F3A64" w:rsidRDefault="006F3A64" w:rsidP="006F3A64">
      <w:pPr>
        <w:jc w:val="both"/>
      </w:pPr>
      <w:r w:rsidRPr="00911926">
        <w:t xml:space="preserve">Among these CHB patients with late clinical events, we will identify those who had never received antiviral therapy until one month prior to the clinical event. Patients who receive antiviral therapy within one month prior to the event will not be excluded because the treatment could be given as a result of the event and a therapy shorter than one month is insufficient to prevent a late event. We will then calculate the number of these patients, characterize them in details, and examined the chronological changes over years. We’ll go on to analyze potential causes for not having been treated with antiviral therapy in these patients. The causes may be classified along the chain all the way from the diagnosis of CHB (e.g. never examined for HBsAg until the occurrence of a late event) to the national policy of antiviral therapy (e.g., patients with an established diagnosis of CHB and regularly followed up at specialists who could not initiate antiviral therapy because he or she did not fulfill the reimbursement criteria until occurrence of the late event). </w:t>
      </w:r>
    </w:p>
    <w:p w14:paraId="522435AD" w14:textId="77777777" w:rsidR="006F3A64" w:rsidRDefault="006F3A64" w:rsidP="006F3A64">
      <w:pPr>
        <w:jc w:val="both"/>
      </w:pPr>
    </w:p>
    <w:p w14:paraId="299276E6" w14:textId="77777777" w:rsidR="006F3A64" w:rsidRDefault="006F3A64" w:rsidP="006F3A64">
      <w:pPr>
        <w:jc w:val="both"/>
      </w:pPr>
      <w:r w:rsidRPr="00911926">
        <w:t>Finally, we’ll estimate how many late events could have been prevented with administration of antiviral therapy by referencing studies which reported the effectiveness for reducing the risk of incident HCC, complications of decompensated cirrhosis, and liver-related mortality. As a more conservative approach, we assume at least 3 years of antiviral therapy will be needed to be effective.</w:t>
      </w:r>
    </w:p>
    <w:p w14:paraId="4C083A0F" w14:textId="77777777" w:rsidR="006F3A64" w:rsidRDefault="006F3A64" w:rsidP="006F3A64">
      <w:pPr>
        <w:jc w:val="both"/>
      </w:pPr>
    </w:p>
    <w:p w14:paraId="2857AE71" w14:textId="77777777" w:rsidR="006F3A64" w:rsidRDefault="00F85CE4" w:rsidP="006F3A64">
      <w:pPr>
        <w:jc w:val="both"/>
      </w:pPr>
      <w:r>
        <w:rPr>
          <w:rFonts w:eastAsia="標楷體"/>
          <w:b/>
          <w:i/>
        </w:rPr>
        <w:lastRenderedPageBreak/>
        <w:t xml:space="preserve">Statistical analysis </w:t>
      </w:r>
    </w:p>
    <w:p w14:paraId="7613365D" w14:textId="77777777" w:rsidR="006F3A64" w:rsidRDefault="006F3A64" w:rsidP="006F3A64">
      <w:pPr>
        <w:jc w:val="both"/>
      </w:pPr>
      <w:r w:rsidRPr="006F3A64">
        <w:rPr>
          <w:rFonts w:eastAsia="標楷體"/>
          <w:color w:val="000000"/>
          <w:kern w:val="0"/>
        </w:rPr>
        <w:t xml:space="preserve">There are about 2,000,000 Taiwanese residents with chronic hepatitis B. Each year, 3,500 people develop HCC and the number remains stable in the past 10 years. Nearly half of them (40~45%) are related to HBV infection. In short, we should be able to identify more than 15,000 CHB patients who developed HCC for our analysis. Taking into consideration the scenarios where CHB patients may progress to hepatic decompensation or pass away without developing HCC first, we are confident to identify at least 20,000 patients eligible for analysis. </w:t>
      </w:r>
    </w:p>
    <w:p w14:paraId="1EA8B46B" w14:textId="77777777" w:rsidR="006F3A64" w:rsidRDefault="006F3A64" w:rsidP="006F3A64">
      <w:pPr>
        <w:jc w:val="both"/>
      </w:pPr>
    </w:p>
    <w:p w14:paraId="6D16F5EA" w14:textId="77777777" w:rsidR="006F3A64" w:rsidRDefault="006F3A64" w:rsidP="006F3A64">
      <w:pPr>
        <w:jc w:val="both"/>
      </w:pPr>
      <w:r w:rsidRPr="006F3A64">
        <w:rPr>
          <w:rFonts w:eastAsia="標楷體"/>
          <w:color w:val="000000"/>
          <w:kern w:val="0"/>
        </w:rPr>
        <w:t xml:space="preserve">Continuous data were summarized with median and interquartile range (IQR), whereas categorical data were presented with the exact number and proportion. The cumulative incidences of non-fatal events were estimated by semi-parametric analyses adjusted for competing mortality with the method developed by Gray. The incidence rate of each event was calculated by event occurrences per person-time for a specified time interval, and the trend over time was examined using Poisson regression for statistical significance. </w:t>
      </w:r>
    </w:p>
    <w:p w14:paraId="7FB11920" w14:textId="77777777" w:rsidR="006F3A64" w:rsidRDefault="006F3A64" w:rsidP="006F3A64">
      <w:pPr>
        <w:jc w:val="both"/>
      </w:pPr>
    </w:p>
    <w:p w14:paraId="523DCF48" w14:textId="24E4FC55" w:rsidR="00F85CE4" w:rsidRPr="006F3A64" w:rsidRDefault="006F3A64" w:rsidP="006F3A64">
      <w:pPr>
        <w:jc w:val="both"/>
      </w:pPr>
      <w:r w:rsidRPr="006F3A64">
        <w:rPr>
          <w:rFonts w:eastAsia="標楷體"/>
          <w:color w:val="000000"/>
          <w:kern w:val="0"/>
        </w:rPr>
        <w:t>Potential risk factors for underutilization of antiviral therapy were explored by logistic regression. Regardless of statistical significance in the univariable analysis, all variables were examined by a stepwise approach in the multivariable regression that retained statistically significant (prespecified as a P &lt;0.05) variables in the final model. The analyses will be based on available information in the database without data imputation. Observations with missing data are thought to occur randomly and not included in the regression. Commercial software programs Stata (version 13.0, Stata Corp, College Station, TX, USA) and SAS (version 9.4, SAS Institute, Cary, NC, USA) will be used to manage and analyze the data. We computed all point estimates along with their 95% confidence intervals (CIs). All tests were two-sided with statistical significance defined as a P value &lt;0.05.</w:t>
      </w:r>
    </w:p>
    <w:p w14:paraId="1B4A1B52" w14:textId="6A3E4F77" w:rsidR="00B33CC1" w:rsidRPr="006F3A64" w:rsidRDefault="00F85CE4" w:rsidP="006F3A64">
      <w:pPr>
        <w:autoSpaceDE w:val="0"/>
        <w:autoSpaceDN w:val="0"/>
        <w:adjustRightInd w:val="0"/>
        <w:spacing w:line="360" w:lineRule="auto"/>
        <w:ind w:firstLineChars="200" w:firstLine="480"/>
        <w:jc w:val="both"/>
        <w:rPr>
          <w:lang w:val="en-GB"/>
        </w:rPr>
      </w:pPr>
      <w:r>
        <w:rPr>
          <w:rFonts w:eastAsia="標楷體"/>
        </w:rPr>
        <w:t xml:space="preserve"> </w:t>
      </w:r>
      <w:r w:rsidR="00B33CC1" w:rsidRPr="00B33CC1">
        <w:rPr>
          <w:color w:val="000000"/>
          <w:szCs w:val="22"/>
          <w:lang w:val="en-GB"/>
        </w:rPr>
        <w:t xml:space="preserve"> </w:t>
      </w:r>
    </w:p>
    <w:p w14:paraId="0506C6CD" w14:textId="77777777" w:rsidR="000B1A12" w:rsidRDefault="00F552D7" w:rsidP="00D12F75">
      <w:pPr>
        <w:spacing w:line="360" w:lineRule="auto"/>
        <w:jc w:val="both"/>
        <w:rPr>
          <w:b/>
          <w:bCs/>
          <w:caps/>
          <w:color w:val="000000"/>
          <w:sz w:val="20"/>
        </w:rPr>
      </w:pPr>
      <w:r w:rsidRPr="00D500D6">
        <w:rPr>
          <w:rFonts w:hint="eastAsia"/>
          <w:b/>
          <w:bCs/>
          <w:caps/>
          <w:color w:val="000000"/>
          <w:szCs w:val="32"/>
        </w:rPr>
        <w:t xml:space="preserve">References: </w:t>
      </w:r>
    </w:p>
    <w:p w14:paraId="249F6923" w14:textId="77777777" w:rsidR="006F3A64" w:rsidRPr="006F3A64" w:rsidRDefault="006F3A64" w:rsidP="006F3A64">
      <w:pPr>
        <w:rPr>
          <w:rFonts w:ascii="Calibri" w:hAnsi="Calibri" w:cs="Calibri"/>
          <w:noProof/>
          <w:szCs w:val="22"/>
        </w:rPr>
      </w:pPr>
      <w:r w:rsidRPr="006F3A64">
        <w:rPr>
          <w:rFonts w:ascii="Calibri" w:hAnsi="Calibri" w:cs="Calibri"/>
          <w:noProof/>
          <w:szCs w:val="22"/>
        </w:rPr>
        <w:t>1. EASL clinical practice guidelines: Management of chronic hepatitis B virus infection. Journal of hepatology 2012;57:167-85.</w:t>
      </w:r>
    </w:p>
    <w:p w14:paraId="12913251" w14:textId="77777777" w:rsidR="006F3A64" w:rsidRPr="006F3A64" w:rsidRDefault="006F3A64" w:rsidP="006F3A64">
      <w:pPr>
        <w:rPr>
          <w:rFonts w:ascii="Calibri" w:hAnsi="Calibri" w:cs="Calibri"/>
          <w:noProof/>
          <w:szCs w:val="22"/>
        </w:rPr>
      </w:pPr>
      <w:r w:rsidRPr="006F3A64">
        <w:rPr>
          <w:rFonts w:ascii="Calibri" w:hAnsi="Calibri" w:cs="Calibri"/>
          <w:noProof/>
          <w:szCs w:val="22"/>
        </w:rPr>
        <w:t>2. Polaris Observatory C. Global prevalence, treatment, and prevention of hepatitis B virus infection in 2016: a modelling study. Lancet Gastroenterol Hepatol 2018;3:383-403.</w:t>
      </w:r>
    </w:p>
    <w:p w14:paraId="674415A8" w14:textId="77777777" w:rsidR="006F3A64" w:rsidRPr="006F3A64" w:rsidRDefault="006F3A64" w:rsidP="006F3A64">
      <w:pPr>
        <w:rPr>
          <w:rFonts w:ascii="Calibri" w:hAnsi="Calibri" w:cs="Calibri"/>
          <w:noProof/>
          <w:szCs w:val="22"/>
        </w:rPr>
      </w:pPr>
      <w:r w:rsidRPr="006F3A64">
        <w:rPr>
          <w:rFonts w:ascii="Calibri" w:hAnsi="Calibri" w:cs="Calibri"/>
          <w:noProof/>
          <w:szCs w:val="22"/>
        </w:rPr>
        <w:t xml:space="preserve">3. Terrault NA, Lok AS, McMahon BJ, et al. Update on prevention, diagnosis, and treatment of chronic hepatitis B: AASLD 2018 hepatitis B guidance. Hepatology </w:t>
      </w:r>
      <w:r w:rsidRPr="006F3A64">
        <w:rPr>
          <w:rFonts w:ascii="Calibri" w:hAnsi="Calibri" w:cs="Calibri"/>
          <w:noProof/>
          <w:szCs w:val="22"/>
        </w:rPr>
        <w:lastRenderedPageBreak/>
        <w:t>2018;67:1560-99.</w:t>
      </w:r>
    </w:p>
    <w:p w14:paraId="39FFABC4" w14:textId="77777777" w:rsidR="006F3A64" w:rsidRPr="006F3A64" w:rsidRDefault="006F3A64" w:rsidP="006F3A64">
      <w:pPr>
        <w:rPr>
          <w:rFonts w:ascii="Calibri" w:hAnsi="Calibri" w:cs="Calibri"/>
          <w:noProof/>
          <w:szCs w:val="22"/>
        </w:rPr>
      </w:pPr>
      <w:r w:rsidRPr="006F3A64">
        <w:rPr>
          <w:rFonts w:ascii="Calibri" w:hAnsi="Calibri" w:cs="Calibri"/>
          <w:noProof/>
          <w:szCs w:val="22"/>
        </w:rPr>
        <w:t>4. European Association for the Study of the Liver. Electronic address eee, European Association for the Study of the L. EASL 2017 Clinical Practice Guidelines on the management of hepatitis B virus infection. Journal of hepatology 2017;67:370-98.</w:t>
      </w:r>
    </w:p>
    <w:p w14:paraId="206D60F6" w14:textId="77777777" w:rsidR="006F3A64" w:rsidRPr="006F3A64" w:rsidRDefault="006F3A64" w:rsidP="006F3A64">
      <w:pPr>
        <w:rPr>
          <w:rFonts w:ascii="Calibri" w:hAnsi="Calibri" w:cs="Calibri"/>
          <w:noProof/>
          <w:szCs w:val="22"/>
        </w:rPr>
      </w:pPr>
      <w:r w:rsidRPr="006F3A64">
        <w:rPr>
          <w:rFonts w:ascii="Calibri" w:hAnsi="Calibri" w:cs="Calibri"/>
          <w:noProof/>
          <w:szCs w:val="22"/>
        </w:rPr>
        <w:t>5. Sarin S, Kumar M, Lau G, et al. Asian-Pacific clinical practice guidelines on the management of hepatitis B: a 2015 update. Hepatology international 2016;10:1-98.</w:t>
      </w:r>
    </w:p>
    <w:p w14:paraId="20D113F3" w14:textId="2F9F0580" w:rsidR="00F552D7" w:rsidRDefault="006F3A64" w:rsidP="006F3A64">
      <w:pPr>
        <w:rPr>
          <w:rFonts w:ascii="Calibri" w:hAnsi="Calibri" w:cs="Calibri"/>
          <w:noProof/>
          <w:szCs w:val="22"/>
        </w:rPr>
      </w:pPr>
      <w:r w:rsidRPr="006F3A64">
        <w:rPr>
          <w:rFonts w:ascii="Calibri" w:hAnsi="Calibri" w:cs="Calibri"/>
          <w:noProof/>
          <w:szCs w:val="22"/>
        </w:rPr>
        <w:t>6. Marcellin P, Gane E, Buti M, et al. Regression of cirrhosis during treatment with tenofovir disoproxil fumarate for chronic hepatitis B: a 5-year open-label follow-up study. Lancet 2013;381:468-75.</w:t>
      </w:r>
    </w:p>
    <w:p w14:paraId="71C5221F" w14:textId="77777777" w:rsidR="006F3A64" w:rsidRPr="006F3A64" w:rsidRDefault="006F3A64" w:rsidP="006F3A64">
      <w:pPr>
        <w:rPr>
          <w:rFonts w:ascii="Calibri" w:hAnsi="Calibri" w:cs="Calibri"/>
          <w:noProof/>
          <w:szCs w:val="22"/>
        </w:rPr>
      </w:pPr>
      <w:r w:rsidRPr="006F3A64">
        <w:rPr>
          <w:rFonts w:ascii="Calibri" w:hAnsi="Calibri" w:cs="Calibri"/>
          <w:noProof/>
          <w:szCs w:val="22"/>
        </w:rPr>
        <w:t>7. Chang TT, Liaw YF, Wu SS, et al. Long-term entecavir therapy results in the reversal of fibrosis/cirrhosis and continued histological improvement in patients with chronic hepatitis B. Hepatology 2010;52:886-93.</w:t>
      </w:r>
    </w:p>
    <w:p w14:paraId="02A2D3F3" w14:textId="32BAECA8" w:rsidR="006F3A64" w:rsidRPr="00B34359" w:rsidRDefault="006F3A64" w:rsidP="006F3A64">
      <w:pPr>
        <w:rPr>
          <w:rFonts w:ascii="Calibri" w:hAnsi="Calibri" w:cs="Calibri"/>
          <w:noProof/>
          <w:szCs w:val="22"/>
        </w:rPr>
      </w:pPr>
      <w:r w:rsidRPr="006F3A64">
        <w:rPr>
          <w:rFonts w:ascii="Calibri" w:hAnsi="Calibri" w:cs="Calibri"/>
          <w:noProof/>
          <w:szCs w:val="22"/>
        </w:rPr>
        <w:t>8. Lok AS, McMahon BJ, Brown RS, Jr., et al. Antiviral therapy for chronic hepatitis B viral infection in adults: A systematic review and meta-analysis. Hepatology 2016;63:284-306.</w:t>
      </w:r>
    </w:p>
    <w:sectPr w:rsidR="006F3A64" w:rsidRPr="00B343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BF049" w14:textId="77777777" w:rsidR="005E3CCE" w:rsidRDefault="005E3CCE" w:rsidP="002678C0">
      <w:r>
        <w:separator/>
      </w:r>
    </w:p>
  </w:endnote>
  <w:endnote w:type="continuationSeparator" w:id="0">
    <w:p w14:paraId="26B8B17E" w14:textId="77777777" w:rsidR="005E3CCE" w:rsidRDefault="005E3CCE"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4DE27" w14:textId="77777777" w:rsidR="005E3CCE" w:rsidRDefault="005E3CCE" w:rsidP="002678C0">
      <w:r>
        <w:separator/>
      </w:r>
    </w:p>
  </w:footnote>
  <w:footnote w:type="continuationSeparator" w:id="0">
    <w:p w14:paraId="5C5AA583" w14:textId="77777777" w:rsidR="005E3CCE" w:rsidRDefault="005E3CCE" w:rsidP="0026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614"/>
    <w:multiLevelType w:val="hybridMultilevel"/>
    <w:tmpl w:val="263E75C6"/>
    <w:lvl w:ilvl="0" w:tplc="EAA20102">
      <w:start w:val="1"/>
      <w:numFmt w:val="decimalFullWidth"/>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EE7AC6"/>
    <w:multiLevelType w:val="hybridMultilevel"/>
    <w:tmpl w:val="55306344"/>
    <w:lvl w:ilvl="0" w:tplc="BF06D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5FEE000C"/>
    <w:multiLevelType w:val="hybridMultilevel"/>
    <w:tmpl w:val="91B08890"/>
    <w:lvl w:ilvl="0" w:tplc="6E18EE3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0"/>
    <w:rsid w:val="00017B0D"/>
    <w:rsid w:val="000237C8"/>
    <w:rsid w:val="00057630"/>
    <w:rsid w:val="000B1A12"/>
    <w:rsid w:val="00106D38"/>
    <w:rsid w:val="001B6C88"/>
    <w:rsid w:val="001C352E"/>
    <w:rsid w:val="00217B41"/>
    <w:rsid w:val="002367E3"/>
    <w:rsid w:val="00261B60"/>
    <w:rsid w:val="0026489A"/>
    <w:rsid w:val="002678C0"/>
    <w:rsid w:val="002967FB"/>
    <w:rsid w:val="002C0C1B"/>
    <w:rsid w:val="002F0096"/>
    <w:rsid w:val="003142F5"/>
    <w:rsid w:val="00361966"/>
    <w:rsid w:val="00386058"/>
    <w:rsid w:val="00387823"/>
    <w:rsid w:val="00392CA7"/>
    <w:rsid w:val="00392E4A"/>
    <w:rsid w:val="003A19EC"/>
    <w:rsid w:val="003B12A7"/>
    <w:rsid w:val="003E48DD"/>
    <w:rsid w:val="003E4CFA"/>
    <w:rsid w:val="003F13BA"/>
    <w:rsid w:val="004101A8"/>
    <w:rsid w:val="00413F6C"/>
    <w:rsid w:val="0043431E"/>
    <w:rsid w:val="00437094"/>
    <w:rsid w:val="0048695D"/>
    <w:rsid w:val="004B58CF"/>
    <w:rsid w:val="004E2477"/>
    <w:rsid w:val="0051680D"/>
    <w:rsid w:val="00526E1C"/>
    <w:rsid w:val="0055566E"/>
    <w:rsid w:val="005820CC"/>
    <w:rsid w:val="00587B80"/>
    <w:rsid w:val="005A19AB"/>
    <w:rsid w:val="005E3CCE"/>
    <w:rsid w:val="005F4B5A"/>
    <w:rsid w:val="0061260B"/>
    <w:rsid w:val="00624B7B"/>
    <w:rsid w:val="00626481"/>
    <w:rsid w:val="0067476F"/>
    <w:rsid w:val="006848D2"/>
    <w:rsid w:val="006F121D"/>
    <w:rsid w:val="006F3A64"/>
    <w:rsid w:val="00704427"/>
    <w:rsid w:val="0071745C"/>
    <w:rsid w:val="00721751"/>
    <w:rsid w:val="007352D5"/>
    <w:rsid w:val="00782894"/>
    <w:rsid w:val="00783C3D"/>
    <w:rsid w:val="007A0FC9"/>
    <w:rsid w:val="007C6DF1"/>
    <w:rsid w:val="007F3089"/>
    <w:rsid w:val="0082430A"/>
    <w:rsid w:val="00826ADC"/>
    <w:rsid w:val="008419D6"/>
    <w:rsid w:val="008467F9"/>
    <w:rsid w:val="008C28DC"/>
    <w:rsid w:val="008D7A14"/>
    <w:rsid w:val="008E26F0"/>
    <w:rsid w:val="008E4474"/>
    <w:rsid w:val="008E62B2"/>
    <w:rsid w:val="009558C6"/>
    <w:rsid w:val="0096010D"/>
    <w:rsid w:val="0096151E"/>
    <w:rsid w:val="009A4899"/>
    <w:rsid w:val="009A7637"/>
    <w:rsid w:val="009C45A6"/>
    <w:rsid w:val="009F5AF7"/>
    <w:rsid w:val="00A51206"/>
    <w:rsid w:val="00A64745"/>
    <w:rsid w:val="00A8741B"/>
    <w:rsid w:val="00AA1386"/>
    <w:rsid w:val="00AB6D6E"/>
    <w:rsid w:val="00AD1916"/>
    <w:rsid w:val="00B02586"/>
    <w:rsid w:val="00B07BAC"/>
    <w:rsid w:val="00B17525"/>
    <w:rsid w:val="00B33CC1"/>
    <w:rsid w:val="00B34359"/>
    <w:rsid w:val="00BD1D25"/>
    <w:rsid w:val="00C13832"/>
    <w:rsid w:val="00C26638"/>
    <w:rsid w:val="00C73079"/>
    <w:rsid w:val="00C7463C"/>
    <w:rsid w:val="00C74FC2"/>
    <w:rsid w:val="00CC1F92"/>
    <w:rsid w:val="00CD1D6A"/>
    <w:rsid w:val="00CF6FC0"/>
    <w:rsid w:val="00D06252"/>
    <w:rsid w:val="00D1172B"/>
    <w:rsid w:val="00D12F75"/>
    <w:rsid w:val="00D500D6"/>
    <w:rsid w:val="00D70640"/>
    <w:rsid w:val="00D845D0"/>
    <w:rsid w:val="00DA7D4B"/>
    <w:rsid w:val="00E317B0"/>
    <w:rsid w:val="00E50D32"/>
    <w:rsid w:val="00E63292"/>
    <w:rsid w:val="00EB035B"/>
    <w:rsid w:val="00EB2EB3"/>
    <w:rsid w:val="00F13BFF"/>
    <w:rsid w:val="00F552D7"/>
    <w:rsid w:val="00F85CE4"/>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E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8543</Characters>
  <Application>Microsoft Office Word</Application>
  <DocSecurity>0</DocSecurity>
  <Lines>71</Lines>
  <Paragraphs>21</Paragraphs>
  <ScaleCrop>false</ScaleCrop>
  <Company>CMT</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creator>user</dc:creator>
  <cp:lastModifiedBy>annhsuyl</cp:lastModifiedBy>
  <cp:revision>2</cp:revision>
  <dcterms:created xsi:type="dcterms:W3CDTF">2022-08-18T07:13:00Z</dcterms:created>
  <dcterms:modified xsi:type="dcterms:W3CDTF">2022-08-18T07:13:00Z</dcterms:modified>
</cp:coreProperties>
</file>