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3092" w14:textId="77777777" w:rsidR="00F552D7" w:rsidRPr="00C1486D" w:rsidRDefault="00F552D7">
      <w:pPr>
        <w:spacing w:line="520" w:lineRule="exact"/>
        <w:jc w:val="center"/>
        <w:rPr>
          <w:rFonts w:eastAsia="標楷體"/>
          <w:b/>
          <w:spacing w:val="34"/>
          <w:sz w:val="38"/>
        </w:rPr>
      </w:pPr>
      <w:r w:rsidRPr="00C1486D">
        <w:rPr>
          <w:rFonts w:eastAsia="標楷體"/>
          <w:b/>
          <w:spacing w:val="34"/>
          <w:sz w:val="38"/>
        </w:rPr>
        <w:t>財團法人明日醫學基金會研究計畫申請書</w:t>
      </w:r>
    </w:p>
    <w:p w14:paraId="15B42509" w14:textId="77777777" w:rsidR="00F552D7" w:rsidRPr="00C1486D"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rsidRPr="00C1486D" w14:paraId="354A389C" w14:textId="77777777" w:rsidTr="00B07BAC">
        <w:trPr>
          <w:cantSplit/>
        </w:trPr>
        <w:tc>
          <w:tcPr>
            <w:tcW w:w="1814" w:type="dxa"/>
            <w:vMerge w:val="restart"/>
          </w:tcPr>
          <w:p w14:paraId="3AFD9580" w14:textId="77777777" w:rsidR="00F552D7" w:rsidRPr="00C1486D" w:rsidRDefault="00F552D7">
            <w:pPr>
              <w:spacing w:line="360" w:lineRule="exact"/>
              <w:ind w:firstLine="119"/>
              <w:jc w:val="both"/>
              <w:rPr>
                <w:rFonts w:eastAsia="標楷體"/>
                <w:sz w:val="26"/>
              </w:rPr>
            </w:pPr>
          </w:p>
          <w:p w14:paraId="2D5D1110" w14:textId="77777777" w:rsidR="00F552D7" w:rsidRPr="00C1486D" w:rsidRDefault="00F552D7">
            <w:pPr>
              <w:spacing w:line="360" w:lineRule="exact"/>
              <w:ind w:firstLine="119"/>
              <w:jc w:val="both"/>
              <w:rPr>
                <w:rFonts w:eastAsia="標楷體"/>
                <w:sz w:val="26"/>
              </w:rPr>
            </w:pPr>
            <w:r w:rsidRPr="00C1486D">
              <w:rPr>
                <w:rFonts w:eastAsia="標楷體"/>
                <w:sz w:val="26"/>
              </w:rPr>
              <w:t>計畫名稱</w:t>
            </w:r>
          </w:p>
        </w:tc>
        <w:tc>
          <w:tcPr>
            <w:tcW w:w="7712" w:type="dxa"/>
            <w:gridSpan w:val="2"/>
          </w:tcPr>
          <w:p w14:paraId="66646A2D" w14:textId="3A598C71" w:rsidR="00F552D7" w:rsidRPr="00C1486D" w:rsidRDefault="00F552D7" w:rsidP="0096010D">
            <w:pPr>
              <w:jc w:val="both"/>
              <w:rPr>
                <w:rFonts w:eastAsia="標楷體" w:hint="eastAsia"/>
                <w:sz w:val="26"/>
              </w:rPr>
            </w:pPr>
            <w:r w:rsidRPr="00C1486D">
              <w:rPr>
                <w:rFonts w:eastAsia="標楷體"/>
                <w:sz w:val="26"/>
              </w:rPr>
              <w:t>（中文）</w:t>
            </w:r>
            <w:r w:rsidR="00ED1AAD">
              <w:rPr>
                <w:rFonts w:eastAsia="標楷體" w:hint="eastAsia"/>
                <w:sz w:val="26"/>
              </w:rPr>
              <w:t>停止</w:t>
            </w:r>
            <w:r w:rsidR="00F96AEB" w:rsidRPr="00C1486D">
              <w:rPr>
                <w:rFonts w:eastAsia="標楷體"/>
                <w:sz w:val="26"/>
              </w:rPr>
              <w:t>類核苷</w:t>
            </w:r>
            <w:r w:rsidR="00F96AEB" w:rsidRPr="00C1486D">
              <w:rPr>
                <w:rFonts w:eastAsia="標楷體"/>
                <w:sz w:val="26"/>
              </w:rPr>
              <w:t>(</w:t>
            </w:r>
            <w:r w:rsidR="00F96AEB" w:rsidRPr="00C1486D">
              <w:rPr>
                <w:rFonts w:eastAsia="標楷體"/>
                <w:sz w:val="26"/>
              </w:rPr>
              <w:t>酸</w:t>
            </w:r>
            <w:r w:rsidR="00F96AEB" w:rsidRPr="00C1486D">
              <w:rPr>
                <w:rFonts w:eastAsia="標楷體"/>
                <w:sz w:val="26"/>
              </w:rPr>
              <w:t>)</w:t>
            </w:r>
            <w:r w:rsidR="00ED1AAD">
              <w:rPr>
                <w:rFonts w:eastAsia="標楷體" w:hint="eastAsia"/>
                <w:sz w:val="26"/>
              </w:rPr>
              <w:t>藥物</w:t>
            </w:r>
            <w:r w:rsidR="00F96AEB" w:rsidRPr="00C1486D">
              <w:rPr>
                <w:rFonts w:eastAsia="標楷體"/>
                <w:sz w:val="26"/>
              </w:rPr>
              <w:t>治療</w:t>
            </w:r>
            <w:r w:rsidR="00ED1AAD">
              <w:rPr>
                <w:rFonts w:eastAsia="標楷體" w:hint="eastAsia"/>
                <w:sz w:val="26"/>
              </w:rPr>
              <w:t>後急性肝炎發作與</w:t>
            </w:r>
            <w:r w:rsidR="00ED1AAD">
              <w:rPr>
                <w:rFonts w:eastAsia="標楷體" w:hint="eastAsia"/>
                <w:sz w:val="26"/>
              </w:rPr>
              <w:t>B</w:t>
            </w:r>
            <w:r w:rsidR="00ED1AAD">
              <w:rPr>
                <w:rFonts w:eastAsia="標楷體" w:hint="eastAsia"/>
                <w:sz w:val="26"/>
              </w:rPr>
              <w:t>型肝炎表面抗原</w:t>
            </w:r>
            <w:r w:rsidR="0086749D">
              <w:rPr>
                <w:rFonts w:eastAsia="標楷體" w:hint="eastAsia"/>
                <w:sz w:val="26"/>
              </w:rPr>
              <w:t>血清</w:t>
            </w:r>
            <w:r w:rsidR="00ED1AAD">
              <w:rPr>
                <w:rFonts w:eastAsia="標楷體" w:hint="eastAsia"/>
                <w:sz w:val="26"/>
              </w:rPr>
              <w:t>清除</w:t>
            </w:r>
            <w:r w:rsidR="0086749D">
              <w:rPr>
                <w:rFonts w:eastAsia="標楷體" w:hint="eastAsia"/>
                <w:sz w:val="26"/>
              </w:rPr>
              <w:t>發生率</w:t>
            </w:r>
            <w:r w:rsidR="00ED1AAD">
              <w:rPr>
                <w:rFonts w:eastAsia="標楷體" w:hint="eastAsia"/>
                <w:sz w:val="26"/>
              </w:rPr>
              <w:t>的關聯</w:t>
            </w:r>
          </w:p>
        </w:tc>
      </w:tr>
      <w:tr w:rsidR="00F552D7" w:rsidRPr="00C1486D" w14:paraId="55AC70EF" w14:textId="77777777" w:rsidTr="00B07BAC">
        <w:trPr>
          <w:cantSplit/>
        </w:trPr>
        <w:tc>
          <w:tcPr>
            <w:tcW w:w="1814" w:type="dxa"/>
            <w:vMerge/>
          </w:tcPr>
          <w:p w14:paraId="7B6A809A" w14:textId="77777777" w:rsidR="00F552D7" w:rsidRPr="00C1486D" w:rsidRDefault="00F552D7">
            <w:pPr>
              <w:spacing w:line="520" w:lineRule="exact"/>
              <w:ind w:firstLine="120"/>
              <w:jc w:val="both"/>
              <w:rPr>
                <w:rFonts w:eastAsia="標楷體"/>
                <w:sz w:val="26"/>
              </w:rPr>
            </w:pPr>
          </w:p>
        </w:tc>
        <w:tc>
          <w:tcPr>
            <w:tcW w:w="7712" w:type="dxa"/>
            <w:gridSpan w:val="2"/>
          </w:tcPr>
          <w:p w14:paraId="3FD47C2C" w14:textId="32BFFA5C" w:rsidR="00F552D7" w:rsidRPr="00C1486D" w:rsidRDefault="00F552D7" w:rsidP="00624B7B">
            <w:pPr>
              <w:tabs>
                <w:tab w:val="left" w:pos="226"/>
              </w:tabs>
              <w:spacing w:line="300" w:lineRule="exact"/>
              <w:ind w:left="169" w:right="127" w:hangingChars="65" w:hanging="169"/>
              <w:jc w:val="both"/>
              <w:rPr>
                <w:rFonts w:eastAsia="標楷體"/>
                <w:sz w:val="26"/>
              </w:rPr>
            </w:pPr>
            <w:r w:rsidRPr="00C1486D">
              <w:rPr>
                <w:rFonts w:eastAsia="標楷體"/>
                <w:sz w:val="26"/>
              </w:rPr>
              <w:t>（英文）</w:t>
            </w:r>
            <w:r w:rsidR="00ED1AAD" w:rsidRPr="00ED1AAD">
              <w:rPr>
                <w:rFonts w:eastAsia="標楷體"/>
                <w:sz w:val="26"/>
              </w:rPr>
              <w:t>A</w:t>
            </w:r>
            <w:r w:rsidR="00ED1AAD">
              <w:rPr>
                <w:rFonts w:eastAsia="標楷體"/>
                <w:sz w:val="26"/>
              </w:rPr>
              <w:t>ssociation of</w:t>
            </w:r>
            <w:r w:rsidR="00ED1AAD" w:rsidRPr="00ED1AAD">
              <w:rPr>
                <w:rFonts w:eastAsia="標楷體"/>
                <w:sz w:val="26"/>
              </w:rPr>
              <w:t xml:space="preserve"> </w:t>
            </w:r>
            <w:r w:rsidR="00ED1AAD">
              <w:rPr>
                <w:rFonts w:eastAsia="標楷體"/>
                <w:sz w:val="26"/>
              </w:rPr>
              <w:t xml:space="preserve">Acute </w:t>
            </w:r>
            <w:r w:rsidR="00ED1AAD" w:rsidRPr="00ED1AAD">
              <w:rPr>
                <w:rFonts w:eastAsia="標楷體"/>
                <w:sz w:val="26"/>
              </w:rPr>
              <w:t xml:space="preserve">Hepatitis Flares </w:t>
            </w:r>
            <w:r w:rsidR="00ED1AAD">
              <w:rPr>
                <w:rFonts w:eastAsia="標楷體"/>
                <w:sz w:val="26"/>
              </w:rPr>
              <w:t xml:space="preserve">with Incidence of HBsAg Seroclearance </w:t>
            </w:r>
            <w:r w:rsidR="00ED1AAD" w:rsidRPr="00ED1AAD">
              <w:rPr>
                <w:rFonts w:eastAsia="標楷體"/>
                <w:sz w:val="26"/>
              </w:rPr>
              <w:t>after Cessation of Nucleos(t)ide Analogues</w:t>
            </w:r>
          </w:p>
        </w:tc>
      </w:tr>
      <w:tr w:rsidR="00F552D7" w:rsidRPr="00C1486D" w14:paraId="7096397D" w14:textId="77777777" w:rsidTr="00B07BAC">
        <w:tc>
          <w:tcPr>
            <w:tcW w:w="1814" w:type="dxa"/>
          </w:tcPr>
          <w:p w14:paraId="53756F91" w14:textId="77777777" w:rsidR="00F552D7" w:rsidRPr="00C1486D" w:rsidRDefault="00F552D7">
            <w:pPr>
              <w:spacing w:line="600" w:lineRule="exact"/>
              <w:ind w:firstLine="120"/>
              <w:jc w:val="both"/>
              <w:rPr>
                <w:rFonts w:eastAsia="標楷體"/>
                <w:sz w:val="26"/>
              </w:rPr>
            </w:pPr>
            <w:r w:rsidRPr="00C1486D">
              <w:rPr>
                <w:rFonts w:eastAsia="標楷體"/>
                <w:sz w:val="26"/>
              </w:rPr>
              <w:t>計畫類別</w:t>
            </w:r>
          </w:p>
        </w:tc>
        <w:tc>
          <w:tcPr>
            <w:tcW w:w="3969" w:type="dxa"/>
          </w:tcPr>
          <w:p w14:paraId="5B45F959" w14:textId="77777777" w:rsidR="00F552D7" w:rsidRPr="00C1486D" w:rsidRDefault="00F552D7">
            <w:pPr>
              <w:spacing w:line="600" w:lineRule="exact"/>
              <w:jc w:val="both"/>
              <w:rPr>
                <w:rFonts w:eastAsia="標楷體"/>
                <w:sz w:val="26"/>
              </w:rPr>
            </w:pPr>
            <w:r w:rsidRPr="00C1486D">
              <w:rPr>
                <w:rFonts w:eastAsia="標楷體"/>
                <w:sz w:val="26"/>
              </w:rPr>
              <w:sym w:font="Wingdings" w:char="F0FE"/>
            </w:r>
            <w:r w:rsidRPr="00C1486D">
              <w:rPr>
                <w:rFonts w:eastAsia="標楷體"/>
                <w:sz w:val="26"/>
              </w:rPr>
              <w:t>個別型</w:t>
            </w:r>
          </w:p>
        </w:tc>
        <w:tc>
          <w:tcPr>
            <w:tcW w:w="3743" w:type="dxa"/>
          </w:tcPr>
          <w:p w14:paraId="267BA5D9" w14:textId="77777777" w:rsidR="00F552D7" w:rsidRPr="00C1486D" w:rsidRDefault="00F552D7">
            <w:pPr>
              <w:spacing w:line="600" w:lineRule="exact"/>
              <w:ind w:right="-1566"/>
              <w:jc w:val="both"/>
              <w:rPr>
                <w:rFonts w:eastAsia="標楷體"/>
                <w:sz w:val="26"/>
              </w:rPr>
            </w:pPr>
            <w:r w:rsidRPr="00C1486D">
              <w:rPr>
                <w:rFonts w:eastAsia="標楷體"/>
                <w:sz w:val="26"/>
              </w:rPr>
              <w:sym w:font="Wingdings" w:char="F0A8"/>
            </w:r>
            <w:r w:rsidRPr="00C1486D">
              <w:rPr>
                <w:rFonts w:eastAsia="標楷體"/>
                <w:sz w:val="26"/>
              </w:rPr>
              <w:t>整合型</w:t>
            </w:r>
          </w:p>
        </w:tc>
      </w:tr>
      <w:tr w:rsidR="00F552D7" w:rsidRPr="00C1486D" w14:paraId="61E82DAE" w14:textId="77777777" w:rsidTr="00B07BAC">
        <w:trPr>
          <w:cantSplit/>
        </w:trPr>
        <w:tc>
          <w:tcPr>
            <w:tcW w:w="1814" w:type="dxa"/>
          </w:tcPr>
          <w:p w14:paraId="4E287170" w14:textId="77777777" w:rsidR="00F552D7" w:rsidRPr="00C1486D" w:rsidRDefault="00F552D7">
            <w:pPr>
              <w:spacing w:line="600" w:lineRule="exact"/>
              <w:ind w:firstLine="120"/>
              <w:jc w:val="both"/>
              <w:rPr>
                <w:rFonts w:eastAsia="標楷體"/>
                <w:sz w:val="26"/>
              </w:rPr>
            </w:pPr>
            <w:r w:rsidRPr="00C1486D">
              <w:rPr>
                <w:rFonts w:eastAsia="標楷體"/>
                <w:sz w:val="26"/>
              </w:rPr>
              <w:t>計畫歸屬</w:t>
            </w:r>
          </w:p>
        </w:tc>
        <w:tc>
          <w:tcPr>
            <w:tcW w:w="7712" w:type="dxa"/>
            <w:gridSpan w:val="2"/>
          </w:tcPr>
          <w:p w14:paraId="0094A770" w14:textId="77777777" w:rsidR="00F552D7" w:rsidRPr="00C1486D" w:rsidRDefault="00B07BAC">
            <w:pPr>
              <w:spacing w:line="600" w:lineRule="exact"/>
              <w:jc w:val="both"/>
              <w:rPr>
                <w:rFonts w:eastAsia="標楷體"/>
                <w:spacing w:val="-2"/>
                <w:sz w:val="26"/>
              </w:rPr>
            </w:pPr>
            <w:r w:rsidRPr="00C1486D">
              <w:rPr>
                <w:rFonts w:eastAsia="標楷體"/>
                <w:spacing w:val="-2"/>
                <w:sz w:val="26"/>
              </w:rPr>
              <w:sym w:font="Wingdings" w:char="F0A8"/>
            </w:r>
            <w:r w:rsidR="00F552D7" w:rsidRPr="00C1486D">
              <w:rPr>
                <w:rFonts w:eastAsia="標楷體"/>
                <w:spacing w:val="-2"/>
                <w:sz w:val="26"/>
              </w:rPr>
              <w:t>基礎醫學</w:t>
            </w:r>
            <w:r w:rsidR="00F552D7" w:rsidRPr="00C1486D">
              <w:rPr>
                <w:rFonts w:eastAsia="標楷體"/>
                <w:spacing w:val="-2"/>
                <w:sz w:val="26"/>
              </w:rPr>
              <w:sym w:font="Wingdings" w:char="F0A8"/>
            </w:r>
            <w:r w:rsidR="00F552D7" w:rsidRPr="00C1486D">
              <w:rPr>
                <w:rFonts w:eastAsia="標楷體"/>
                <w:spacing w:val="-2"/>
                <w:sz w:val="26"/>
              </w:rPr>
              <w:t>生物醫學</w:t>
            </w:r>
            <w:r w:rsidRPr="00C1486D">
              <w:rPr>
                <w:rFonts w:eastAsia="標楷體"/>
                <w:spacing w:val="-2"/>
                <w:sz w:val="26"/>
              </w:rPr>
              <w:sym w:font="Wingdings" w:char="F0FE"/>
            </w:r>
            <w:r w:rsidR="00F552D7" w:rsidRPr="00C1486D">
              <w:rPr>
                <w:rFonts w:eastAsia="標楷體"/>
                <w:spacing w:val="-2"/>
                <w:sz w:val="26"/>
              </w:rPr>
              <w:t>臨床醫學</w:t>
            </w:r>
            <w:r w:rsidR="00F552D7" w:rsidRPr="00C1486D">
              <w:rPr>
                <w:rFonts w:eastAsia="標楷體"/>
                <w:spacing w:val="-2"/>
                <w:sz w:val="26"/>
              </w:rPr>
              <w:sym w:font="Wingdings" w:char="F0A8"/>
            </w:r>
            <w:r w:rsidR="00F552D7" w:rsidRPr="00C1486D">
              <w:rPr>
                <w:rFonts w:eastAsia="標楷體"/>
                <w:spacing w:val="-2"/>
                <w:sz w:val="26"/>
              </w:rPr>
              <w:t>資訊系統</w:t>
            </w:r>
            <w:r w:rsidR="00F552D7" w:rsidRPr="00C1486D">
              <w:rPr>
                <w:rFonts w:eastAsia="標楷體"/>
                <w:spacing w:val="-2"/>
                <w:sz w:val="26"/>
              </w:rPr>
              <w:sym w:font="Wingdings" w:char="F0A8"/>
            </w:r>
            <w:r w:rsidR="00F552D7" w:rsidRPr="00C1486D">
              <w:rPr>
                <w:rFonts w:eastAsia="標楷體"/>
                <w:spacing w:val="-2"/>
                <w:sz w:val="26"/>
              </w:rPr>
              <w:t>醫院管理</w:t>
            </w:r>
            <w:r w:rsidR="00F552D7" w:rsidRPr="00C1486D">
              <w:rPr>
                <w:rFonts w:eastAsia="標楷體"/>
                <w:spacing w:val="-2"/>
                <w:sz w:val="26"/>
              </w:rPr>
              <w:sym w:font="Wingdings" w:char="F0A8"/>
            </w:r>
            <w:r w:rsidR="00F552D7" w:rsidRPr="00C1486D">
              <w:rPr>
                <w:rFonts w:eastAsia="標楷體"/>
                <w:spacing w:val="-2"/>
                <w:sz w:val="26"/>
              </w:rPr>
              <w:t>整合性醫學研究</w:t>
            </w:r>
          </w:p>
        </w:tc>
      </w:tr>
      <w:tr w:rsidR="00F552D7" w:rsidRPr="00C1486D" w14:paraId="7653E01C" w14:textId="77777777" w:rsidTr="00B07BAC">
        <w:trPr>
          <w:cantSplit/>
        </w:trPr>
        <w:tc>
          <w:tcPr>
            <w:tcW w:w="1814" w:type="dxa"/>
            <w:vMerge w:val="restart"/>
          </w:tcPr>
          <w:p w14:paraId="232D5CAE" w14:textId="77777777" w:rsidR="00F552D7" w:rsidRPr="00C1486D" w:rsidRDefault="00F552D7">
            <w:pPr>
              <w:spacing w:line="600" w:lineRule="exact"/>
              <w:ind w:firstLine="120"/>
              <w:jc w:val="both"/>
              <w:rPr>
                <w:rFonts w:eastAsia="標楷體"/>
                <w:sz w:val="26"/>
              </w:rPr>
            </w:pPr>
            <w:r w:rsidRPr="00C1486D">
              <w:rPr>
                <w:rFonts w:eastAsia="標楷體"/>
                <w:sz w:val="26"/>
              </w:rPr>
              <w:t>計畫主持人</w:t>
            </w:r>
          </w:p>
        </w:tc>
        <w:tc>
          <w:tcPr>
            <w:tcW w:w="3969" w:type="dxa"/>
          </w:tcPr>
          <w:p w14:paraId="1E4956CE" w14:textId="77777777" w:rsidR="00F552D7" w:rsidRPr="00C1486D" w:rsidRDefault="00F552D7">
            <w:pPr>
              <w:spacing w:beforeLines="50" w:before="180" w:afterLines="30" w:after="108" w:line="300" w:lineRule="exact"/>
              <w:rPr>
                <w:rFonts w:eastAsia="標楷體"/>
                <w:color w:val="000000"/>
                <w:sz w:val="32"/>
              </w:rPr>
            </w:pPr>
            <w:r w:rsidRPr="00C1486D">
              <w:rPr>
                <w:rFonts w:eastAsia="標楷體"/>
                <w:sz w:val="26"/>
              </w:rPr>
              <w:t>姓名：</w:t>
            </w:r>
            <w:r w:rsidRPr="00C1486D">
              <w:rPr>
                <w:rFonts w:eastAsia="標楷體"/>
                <w:color w:val="000000"/>
                <w:sz w:val="32"/>
              </w:rPr>
              <w:t>許耀峻</w:t>
            </w:r>
          </w:p>
          <w:p w14:paraId="7E93DD45" w14:textId="77777777" w:rsidR="00F552D7" w:rsidRPr="00C1486D" w:rsidRDefault="00F552D7">
            <w:pPr>
              <w:spacing w:beforeLines="50" w:before="180" w:afterLines="30" w:after="108" w:line="300" w:lineRule="exact"/>
              <w:ind w:leftChars="-5" w:left="310" w:hangingChars="115" w:hanging="322"/>
              <w:rPr>
                <w:rFonts w:eastAsia="標楷體"/>
                <w:color w:val="000000"/>
                <w:sz w:val="28"/>
              </w:rPr>
            </w:pPr>
            <w:r w:rsidRPr="00C1486D">
              <w:rPr>
                <w:rFonts w:eastAsia="標楷體"/>
                <w:color w:val="000000"/>
                <w:sz w:val="28"/>
              </w:rPr>
              <w:t>Yao-Chun Hsu</w:t>
            </w:r>
          </w:p>
          <w:p w14:paraId="099CA85D" w14:textId="77777777" w:rsidR="00F552D7" w:rsidRPr="00C1486D" w:rsidRDefault="00F552D7">
            <w:pPr>
              <w:spacing w:line="600" w:lineRule="exact"/>
              <w:jc w:val="both"/>
              <w:rPr>
                <w:rFonts w:eastAsia="標楷體"/>
                <w:sz w:val="26"/>
              </w:rPr>
            </w:pPr>
          </w:p>
        </w:tc>
        <w:tc>
          <w:tcPr>
            <w:tcW w:w="3743" w:type="dxa"/>
          </w:tcPr>
          <w:p w14:paraId="59F3BAD8" w14:textId="3A89C18C" w:rsidR="00F552D7" w:rsidRPr="00C1486D" w:rsidRDefault="00F552D7">
            <w:pPr>
              <w:spacing w:line="600" w:lineRule="exact"/>
              <w:ind w:right="-1566"/>
              <w:jc w:val="both"/>
              <w:rPr>
                <w:rFonts w:eastAsia="標楷體"/>
                <w:sz w:val="26"/>
              </w:rPr>
            </w:pPr>
            <w:r w:rsidRPr="00C1486D">
              <w:rPr>
                <w:rFonts w:eastAsia="標楷體"/>
                <w:sz w:val="26"/>
              </w:rPr>
              <w:t>機關：</w:t>
            </w:r>
            <w:r w:rsidR="0096010D" w:rsidRPr="00C1486D">
              <w:rPr>
                <w:rFonts w:eastAsia="標楷體"/>
                <w:b/>
                <w:sz w:val="28"/>
              </w:rPr>
              <w:t>義</w:t>
            </w:r>
            <w:r w:rsidR="0086749D">
              <w:rPr>
                <w:rFonts w:eastAsia="標楷體" w:hint="eastAsia"/>
                <w:b/>
                <w:sz w:val="28"/>
              </w:rPr>
              <w:t>守大學、義</w:t>
            </w:r>
            <w:r w:rsidR="00B07BAC" w:rsidRPr="00C1486D">
              <w:rPr>
                <w:rFonts w:eastAsia="標楷體"/>
                <w:b/>
                <w:sz w:val="28"/>
              </w:rPr>
              <w:t>大醫院</w:t>
            </w:r>
          </w:p>
        </w:tc>
      </w:tr>
      <w:tr w:rsidR="00F552D7" w:rsidRPr="00C1486D" w14:paraId="419D7C76" w14:textId="77777777" w:rsidTr="00B07BAC">
        <w:trPr>
          <w:cantSplit/>
        </w:trPr>
        <w:tc>
          <w:tcPr>
            <w:tcW w:w="1814" w:type="dxa"/>
            <w:vMerge/>
          </w:tcPr>
          <w:p w14:paraId="0AC984BE" w14:textId="77777777" w:rsidR="00F552D7" w:rsidRPr="00C1486D" w:rsidRDefault="00F552D7">
            <w:pPr>
              <w:spacing w:line="600" w:lineRule="exact"/>
              <w:ind w:firstLine="120"/>
              <w:jc w:val="both"/>
              <w:rPr>
                <w:rFonts w:eastAsia="標楷體"/>
                <w:sz w:val="26"/>
              </w:rPr>
            </w:pPr>
          </w:p>
        </w:tc>
        <w:tc>
          <w:tcPr>
            <w:tcW w:w="3969" w:type="dxa"/>
          </w:tcPr>
          <w:p w14:paraId="6FF61628" w14:textId="3DE98614" w:rsidR="00F552D7" w:rsidRPr="00C1486D" w:rsidRDefault="00F552D7">
            <w:pPr>
              <w:spacing w:line="600" w:lineRule="exact"/>
              <w:jc w:val="both"/>
              <w:rPr>
                <w:rFonts w:eastAsia="標楷體"/>
                <w:sz w:val="26"/>
              </w:rPr>
            </w:pPr>
            <w:r w:rsidRPr="00C1486D">
              <w:rPr>
                <w:rFonts w:eastAsia="標楷體"/>
                <w:sz w:val="26"/>
              </w:rPr>
              <w:t>職稱：</w:t>
            </w:r>
            <w:r w:rsidR="0086749D">
              <w:rPr>
                <w:rFonts w:eastAsia="標楷體" w:hint="eastAsia"/>
                <w:b/>
                <w:sz w:val="28"/>
              </w:rPr>
              <w:t>教授</w:t>
            </w:r>
          </w:p>
        </w:tc>
        <w:tc>
          <w:tcPr>
            <w:tcW w:w="3743" w:type="dxa"/>
          </w:tcPr>
          <w:p w14:paraId="4EBCF205" w14:textId="691F92CE" w:rsidR="00F552D7" w:rsidRPr="00C1486D" w:rsidRDefault="00F552D7">
            <w:pPr>
              <w:spacing w:line="600" w:lineRule="exact"/>
              <w:ind w:right="-1566"/>
              <w:jc w:val="both"/>
              <w:rPr>
                <w:rFonts w:eastAsia="標楷體"/>
                <w:sz w:val="26"/>
              </w:rPr>
            </w:pPr>
            <w:r w:rsidRPr="00C1486D">
              <w:rPr>
                <w:rFonts w:eastAsia="標楷體"/>
                <w:sz w:val="26"/>
              </w:rPr>
              <w:t>單位：</w:t>
            </w:r>
            <w:r w:rsidR="0086749D">
              <w:rPr>
                <w:rFonts w:eastAsia="標楷體" w:hint="eastAsia"/>
                <w:b/>
                <w:sz w:val="28"/>
              </w:rPr>
              <w:t>醫學研究所</w:t>
            </w:r>
          </w:p>
        </w:tc>
      </w:tr>
      <w:tr w:rsidR="00F552D7" w:rsidRPr="00C1486D" w14:paraId="53F5FA6A" w14:textId="77777777" w:rsidTr="00B07BAC">
        <w:trPr>
          <w:cantSplit/>
        </w:trPr>
        <w:tc>
          <w:tcPr>
            <w:tcW w:w="1814" w:type="dxa"/>
          </w:tcPr>
          <w:p w14:paraId="51BCA21E" w14:textId="77777777" w:rsidR="00F552D7" w:rsidRPr="00C1486D" w:rsidRDefault="00F552D7">
            <w:pPr>
              <w:spacing w:line="600" w:lineRule="exact"/>
              <w:ind w:firstLine="120"/>
              <w:jc w:val="both"/>
              <w:rPr>
                <w:rFonts w:eastAsia="標楷體"/>
                <w:sz w:val="26"/>
              </w:rPr>
            </w:pPr>
            <w:r w:rsidRPr="00C1486D">
              <w:rPr>
                <w:rFonts w:eastAsia="標楷體"/>
                <w:sz w:val="26"/>
              </w:rPr>
              <w:t>通訊地址</w:t>
            </w:r>
          </w:p>
        </w:tc>
        <w:tc>
          <w:tcPr>
            <w:tcW w:w="7712" w:type="dxa"/>
            <w:gridSpan w:val="2"/>
          </w:tcPr>
          <w:p w14:paraId="4CA43E47" w14:textId="77777777" w:rsidR="00F552D7" w:rsidRPr="00C1486D" w:rsidRDefault="0096010D">
            <w:pPr>
              <w:spacing w:line="600" w:lineRule="exact"/>
              <w:jc w:val="both"/>
              <w:rPr>
                <w:rFonts w:eastAsia="標楷體"/>
                <w:b/>
                <w:sz w:val="28"/>
              </w:rPr>
            </w:pPr>
            <w:r w:rsidRPr="00C1486D">
              <w:rPr>
                <w:rFonts w:eastAsia="標楷體"/>
                <w:b/>
                <w:sz w:val="28"/>
              </w:rPr>
              <w:t>高雄市左營區重化街六號</w:t>
            </w:r>
            <w:r w:rsidRPr="00C1486D">
              <w:rPr>
                <w:rFonts w:eastAsia="標楷體"/>
                <w:b/>
                <w:sz w:val="28"/>
              </w:rPr>
              <w:t>13</w:t>
            </w:r>
            <w:r w:rsidRPr="00C1486D">
              <w:rPr>
                <w:rFonts w:eastAsia="標楷體"/>
                <w:b/>
                <w:sz w:val="28"/>
              </w:rPr>
              <w:t>樓</w:t>
            </w:r>
          </w:p>
        </w:tc>
      </w:tr>
      <w:tr w:rsidR="00F552D7" w:rsidRPr="00C1486D" w14:paraId="2DAD54D3" w14:textId="77777777" w:rsidTr="00B07BAC">
        <w:trPr>
          <w:cantSplit/>
        </w:trPr>
        <w:tc>
          <w:tcPr>
            <w:tcW w:w="1814" w:type="dxa"/>
          </w:tcPr>
          <w:p w14:paraId="1E949F6F" w14:textId="77777777" w:rsidR="00F552D7" w:rsidRPr="00C1486D" w:rsidRDefault="00F552D7">
            <w:pPr>
              <w:spacing w:line="600" w:lineRule="exact"/>
              <w:ind w:firstLine="120"/>
              <w:jc w:val="both"/>
              <w:rPr>
                <w:rFonts w:eastAsia="標楷體"/>
                <w:sz w:val="26"/>
              </w:rPr>
            </w:pPr>
            <w:r w:rsidRPr="00C1486D">
              <w:rPr>
                <w:rFonts w:eastAsia="標楷體"/>
                <w:sz w:val="26"/>
              </w:rPr>
              <w:t>聯絡電話</w:t>
            </w:r>
          </w:p>
        </w:tc>
        <w:tc>
          <w:tcPr>
            <w:tcW w:w="7712" w:type="dxa"/>
            <w:gridSpan w:val="2"/>
          </w:tcPr>
          <w:p w14:paraId="46B52084" w14:textId="77777777" w:rsidR="00F552D7" w:rsidRPr="00C1486D" w:rsidRDefault="008419D6" w:rsidP="0096010D">
            <w:pPr>
              <w:spacing w:line="600" w:lineRule="exact"/>
              <w:jc w:val="both"/>
              <w:rPr>
                <w:rFonts w:eastAsia="標楷體"/>
                <w:b/>
                <w:sz w:val="28"/>
              </w:rPr>
            </w:pPr>
            <w:r w:rsidRPr="00C1486D">
              <w:rPr>
                <w:rFonts w:eastAsia="標楷體"/>
                <w:b/>
                <w:sz w:val="28"/>
              </w:rPr>
              <w:t>(02)</w:t>
            </w:r>
            <w:r w:rsidR="0096010D" w:rsidRPr="00C1486D">
              <w:rPr>
                <w:rFonts w:eastAsia="標楷體"/>
                <w:b/>
                <w:sz w:val="28"/>
              </w:rPr>
              <w:t>6150011</w:t>
            </w:r>
            <w:r w:rsidR="00B07BAC" w:rsidRPr="00C1486D">
              <w:rPr>
                <w:rFonts w:eastAsia="標楷體"/>
                <w:b/>
                <w:sz w:val="28"/>
              </w:rPr>
              <w:t>, 0988687726</w:t>
            </w:r>
          </w:p>
        </w:tc>
      </w:tr>
      <w:tr w:rsidR="00F552D7" w:rsidRPr="00C1486D" w14:paraId="19FEB025" w14:textId="77777777" w:rsidTr="00B07BAC">
        <w:trPr>
          <w:cantSplit/>
        </w:trPr>
        <w:tc>
          <w:tcPr>
            <w:tcW w:w="1814" w:type="dxa"/>
          </w:tcPr>
          <w:p w14:paraId="6D9BF991" w14:textId="77777777" w:rsidR="00F552D7" w:rsidRPr="00C1486D" w:rsidRDefault="00F552D7">
            <w:pPr>
              <w:spacing w:line="600" w:lineRule="exact"/>
              <w:ind w:firstLine="120"/>
              <w:jc w:val="both"/>
              <w:rPr>
                <w:rFonts w:eastAsia="標楷體"/>
                <w:sz w:val="26"/>
              </w:rPr>
            </w:pPr>
            <w:r w:rsidRPr="00C1486D">
              <w:rPr>
                <w:rFonts w:eastAsia="標楷體"/>
                <w:sz w:val="26"/>
              </w:rPr>
              <w:t>計畫執行期限</w:t>
            </w:r>
          </w:p>
        </w:tc>
        <w:tc>
          <w:tcPr>
            <w:tcW w:w="7712" w:type="dxa"/>
            <w:gridSpan w:val="2"/>
          </w:tcPr>
          <w:p w14:paraId="13C2247E" w14:textId="397D4977" w:rsidR="00F552D7" w:rsidRPr="00C1486D" w:rsidRDefault="00F552D7" w:rsidP="0096010D">
            <w:pPr>
              <w:spacing w:line="600" w:lineRule="exact"/>
              <w:jc w:val="both"/>
              <w:rPr>
                <w:rFonts w:eastAsia="標楷體"/>
                <w:sz w:val="26"/>
              </w:rPr>
            </w:pPr>
            <w:r w:rsidRPr="00C1486D">
              <w:rPr>
                <w:rFonts w:eastAsia="標楷體"/>
                <w:sz w:val="26"/>
              </w:rPr>
              <w:t>自</w:t>
            </w:r>
            <w:r w:rsidRPr="00C1486D">
              <w:rPr>
                <w:rFonts w:eastAsia="標楷體"/>
                <w:sz w:val="28"/>
              </w:rPr>
              <w:t xml:space="preserve"> </w:t>
            </w:r>
            <w:r w:rsidR="00B07BAC" w:rsidRPr="00C1486D">
              <w:rPr>
                <w:rFonts w:eastAsia="標楷體"/>
                <w:b/>
                <w:sz w:val="28"/>
              </w:rPr>
              <w:t>1</w:t>
            </w:r>
            <w:r w:rsidR="006F3A64" w:rsidRPr="00C1486D">
              <w:rPr>
                <w:rFonts w:eastAsia="標楷體"/>
                <w:b/>
                <w:sz w:val="28"/>
              </w:rPr>
              <w:t>1</w:t>
            </w:r>
            <w:r w:rsidR="0086749D">
              <w:rPr>
                <w:rFonts w:eastAsia="標楷體" w:hint="eastAsia"/>
                <w:b/>
                <w:sz w:val="28"/>
              </w:rPr>
              <w:t>2</w:t>
            </w:r>
            <w:r w:rsidRPr="00C1486D">
              <w:rPr>
                <w:rFonts w:eastAsia="標楷體"/>
                <w:sz w:val="28"/>
              </w:rPr>
              <w:t xml:space="preserve">  </w:t>
            </w:r>
            <w:r w:rsidRPr="00C1486D">
              <w:rPr>
                <w:rFonts w:eastAsia="標楷體"/>
                <w:sz w:val="26"/>
              </w:rPr>
              <w:t>年</w:t>
            </w:r>
            <w:r w:rsidRPr="00C1486D">
              <w:rPr>
                <w:rFonts w:eastAsia="標楷體"/>
                <w:sz w:val="26"/>
              </w:rPr>
              <w:t xml:space="preserve"> </w:t>
            </w:r>
            <w:r w:rsidR="00B07BAC" w:rsidRPr="00C1486D">
              <w:rPr>
                <w:rFonts w:eastAsia="標楷體"/>
                <w:sz w:val="28"/>
              </w:rPr>
              <w:t xml:space="preserve"> 1</w:t>
            </w:r>
            <w:r w:rsidRPr="00C1486D">
              <w:rPr>
                <w:rFonts w:eastAsia="標楷體"/>
                <w:sz w:val="28"/>
              </w:rPr>
              <w:t xml:space="preserve">  </w:t>
            </w:r>
            <w:r w:rsidRPr="00C1486D">
              <w:rPr>
                <w:rFonts w:eastAsia="標楷體"/>
                <w:sz w:val="26"/>
              </w:rPr>
              <w:t>月</w:t>
            </w:r>
            <w:r w:rsidR="00B07BAC" w:rsidRPr="00C1486D">
              <w:rPr>
                <w:rFonts w:eastAsia="標楷體"/>
                <w:sz w:val="28"/>
              </w:rPr>
              <w:t xml:space="preserve"> </w:t>
            </w:r>
            <w:r w:rsidRPr="00C1486D">
              <w:rPr>
                <w:rFonts w:eastAsia="標楷體"/>
                <w:b/>
                <w:sz w:val="28"/>
              </w:rPr>
              <w:t>1</w:t>
            </w:r>
            <w:r w:rsidRPr="00C1486D">
              <w:rPr>
                <w:rFonts w:eastAsia="標楷體"/>
                <w:sz w:val="28"/>
              </w:rPr>
              <w:t xml:space="preserve">  </w:t>
            </w:r>
            <w:r w:rsidRPr="00C1486D">
              <w:rPr>
                <w:rFonts w:eastAsia="標楷體"/>
                <w:sz w:val="26"/>
              </w:rPr>
              <w:t>日起至</w:t>
            </w:r>
            <w:r w:rsidRPr="00C1486D">
              <w:rPr>
                <w:rFonts w:eastAsia="標楷體"/>
                <w:sz w:val="28"/>
              </w:rPr>
              <w:t xml:space="preserve">  </w:t>
            </w:r>
            <w:r w:rsidR="00B07BAC" w:rsidRPr="00C1486D">
              <w:rPr>
                <w:rFonts w:eastAsia="標楷體"/>
                <w:b/>
                <w:sz w:val="28"/>
              </w:rPr>
              <w:t>1</w:t>
            </w:r>
            <w:r w:rsidR="006F3A64" w:rsidRPr="00C1486D">
              <w:rPr>
                <w:rFonts w:eastAsia="標楷體"/>
                <w:b/>
                <w:sz w:val="28"/>
              </w:rPr>
              <w:t>1</w:t>
            </w:r>
            <w:r w:rsidR="0086749D">
              <w:rPr>
                <w:rFonts w:eastAsia="標楷體"/>
                <w:b/>
                <w:sz w:val="28"/>
              </w:rPr>
              <w:t>2</w:t>
            </w:r>
            <w:r w:rsidRPr="00C1486D">
              <w:rPr>
                <w:rFonts w:eastAsia="標楷體"/>
                <w:sz w:val="28"/>
              </w:rPr>
              <w:t xml:space="preserve"> </w:t>
            </w:r>
            <w:r w:rsidRPr="00C1486D">
              <w:rPr>
                <w:rFonts w:eastAsia="標楷體"/>
                <w:sz w:val="26"/>
              </w:rPr>
              <w:t>年</w:t>
            </w:r>
            <w:r w:rsidRPr="00C1486D">
              <w:rPr>
                <w:rFonts w:eastAsia="標楷體"/>
                <w:sz w:val="28"/>
              </w:rPr>
              <w:t xml:space="preserve">  </w:t>
            </w:r>
            <w:r w:rsidRPr="00C1486D">
              <w:rPr>
                <w:rFonts w:eastAsia="標楷體"/>
                <w:b/>
                <w:sz w:val="28"/>
              </w:rPr>
              <w:t>12</w:t>
            </w:r>
            <w:r w:rsidRPr="00C1486D">
              <w:rPr>
                <w:rFonts w:eastAsia="標楷體"/>
                <w:sz w:val="28"/>
              </w:rPr>
              <w:t xml:space="preserve">  </w:t>
            </w:r>
            <w:r w:rsidRPr="00C1486D">
              <w:rPr>
                <w:rFonts w:eastAsia="標楷體"/>
                <w:sz w:val="26"/>
              </w:rPr>
              <w:t>月</w:t>
            </w:r>
            <w:r w:rsidRPr="00C1486D">
              <w:rPr>
                <w:rFonts w:eastAsia="標楷體"/>
                <w:sz w:val="28"/>
              </w:rPr>
              <w:t xml:space="preserve">  </w:t>
            </w:r>
            <w:r w:rsidRPr="00C1486D">
              <w:rPr>
                <w:rFonts w:eastAsia="標楷體"/>
                <w:b/>
                <w:sz w:val="28"/>
              </w:rPr>
              <w:t>31</w:t>
            </w:r>
            <w:r w:rsidRPr="00C1486D">
              <w:rPr>
                <w:rFonts w:eastAsia="標楷體"/>
                <w:sz w:val="28"/>
              </w:rPr>
              <w:t xml:space="preserve">  </w:t>
            </w:r>
            <w:r w:rsidRPr="00C1486D">
              <w:rPr>
                <w:rFonts w:eastAsia="標楷體"/>
                <w:sz w:val="26"/>
              </w:rPr>
              <w:t>日止</w:t>
            </w:r>
          </w:p>
        </w:tc>
      </w:tr>
      <w:tr w:rsidR="00F552D7" w:rsidRPr="00C1486D" w14:paraId="40A9B0B9" w14:textId="77777777" w:rsidTr="00B07BAC">
        <w:trPr>
          <w:cantSplit/>
        </w:trPr>
        <w:tc>
          <w:tcPr>
            <w:tcW w:w="1814" w:type="dxa"/>
            <w:vMerge w:val="restart"/>
          </w:tcPr>
          <w:p w14:paraId="5AB84206"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69C9BE10" w14:textId="77777777" w:rsidR="00F552D7" w:rsidRPr="00C1486D" w:rsidRDefault="00F552D7">
            <w:pPr>
              <w:spacing w:line="600" w:lineRule="exact"/>
              <w:ind w:firstLine="120"/>
              <w:jc w:val="both"/>
              <w:rPr>
                <w:rFonts w:eastAsia="標楷體"/>
                <w:sz w:val="26"/>
              </w:rPr>
            </w:pPr>
            <w:r w:rsidRPr="00C1486D">
              <w:rPr>
                <w:rFonts w:eastAsia="標楷體"/>
                <w:sz w:val="26"/>
              </w:rPr>
              <w:t>（一）</w:t>
            </w:r>
          </w:p>
        </w:tc>
        <w:tc>
          <w:tcPr>
            <w:tcW w:w="3969" w:type="dxa"/>
          </w:tcPr>
          <w:p w14:paraId="7B8D5C80" w14:textId="77777777" w:rsidR="00F552D7" w:rsidRPr="00C1486D" w:rsidRDefault="00F552D7">
            <w:pPr>
              <w:spacing w:line="600" w:lineRule="exact"/>
              <w:jc w:val="both"/>
              <w:rPr>
                <w:rFonts w:eastAsia="標楷體"/>
                <w:sz w:val="26"/>
              </w:rPr>
            </w:pPr>
            <w:r w:rsidRPr="00C1486D">
              <w:rPr>
                <w:rFonts w:eastAsia="標楷體"/>
                <w:sz w:val="26"/>
              </w:rPr>
              <w:t>姓名：</w:t>
            </w:r>
            <w:r w:rsidRPr="00C1486D">
              <w:rPr>
                <w:rFonts w:eastAsia="標楷體"/>
                <w:sz w:val="26"/>
              </w:rPr>
              <w:t xml:space="preserve"> </w:t>
            </w:r>
          </w:p>
        </w:tc>
        <w:tc>
          <w:tcPr>
            <w:tcW w:w="3743" w:type="dxa"/>
          </w:tcPr>
          <w:p w14:paraId="7922A1E4" w14:textId="77777777" w:rsidR="00F552D7" w:rsidRPr="00C1486D" w:rsidRDefault="00F552D7">
            <w:pPr>
              <w:spacing w:line="600" w:lineRule="exact"/>
              <w:ind w:right="-1566"/>
              <w:jc w:val="both"/>
              <w:rPr>
                <w:rFonts w:eastAsia="標楷體"/>
                <w:sz w:val="26"/>
              </w:rPr>
            </w:pPr>
            <w:r w:rsidRPr="00C1486D">
              <w:rPr>
                <w:rFonts w:eastAsia="標楷體"/>
                <w:sz w:val="26"/>
              </w:rPr>
              <w:t>機關：</w:t>
            </w:r>
            <w:r w:rsidRPr="00C1486D">
              <w:rPr>
                <w:rFonts w:eastAsia="標楷體"/>
                <w:sz w:val="26"/>
              </w:rPr>
              <w:t xml:space="preserve"> </w:t>
            </w:r>
          </w:p>
        </w:tc>
      </w:tr>
      <w:tr w:rsidR="00F552D7" w:rsidRPr="00C1486D" w14:paraId="769F9C3B" w14:textId="77777777" w:rsidTr="00B07BAC">
        <w:trPr>
          <w:cantSplit/>
        </w:trPr>
        <w:tc>
          <w:tcPr>
            <w:tcW w:w="1814" w:type="dxa"/>
            <w:vMerge/>
          </w:tcPr>
          <w:p w14:paraId="48ED7DA7" w14:textId="77777777" w:rsidR="00F552D7" w:rsidRPr="00C1486D" w:rsidRDefault="00F552D7">
            <w:pPr>
              <w:spacing w:line="600" w:lineRule="exact"/>
              <w:ind w:firstLine="120"/>
              <w:jc w:val="both"/>
              <w:rPr>
                <w:rFonts w:eastAsia="標楷體"/>
                <w:sz w:val="26"/>
              </w:rPr>
            </w:pPr>
          </w:p>
        </w:tc>
        <w:tc>
          <w:tcPr>
            <w:tcW w:w="3969" w:type="dxa"/>
          </w:tcPr>
          <w:p w14:paraId="59FA3E57"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7036852A" w14:textId="77777777" w:rsidR="00F552D7" w:rsidRPr="00C1486D" w:rsidRDefault="00F552D7">
            <w:pPr>
              <w:spacing w:line="600" w:lineRule="exact"/>
              <w:ind w:right="-1566"/>
              <w:jc w:val="both"/>
              <w:rPr>
                <w:rFonts w:eastAsia="標楷體"/>
                <w:sz w:val="26"/>
              </w:rPr>
            </w:pPr>
            <w:r w:rsidRPr="00C1486D">
              <w:rPr>
                <w:rFonts w:eastAsia="標楷體"/>
                <w:sz w:val="26"/>
              </w:rPr>
              <w:t>單位：</w:t>
            </w:r>
            <w:r w:rsidRPr="00C1486D">
              <w:rPr>
                <w:rFonts w:eastAsia="標楷體"/>
                <w:sz w:val="26"/>
              </w:rPr>
              <w:t xml:space="preserve"> </w:t>
            </w:r>
          </w:p>
        </w:tc>
      </w:tr>
      <w:tr w:rsidR="00F552D7" w:rsidRPr="00C1486D" w14:paraId="5E53FDBB" w14:textId="77777777" w:rsidTr="00B07BAC">
        <w:trPr>
          <w:cantSplit/>
        </w:trPr>
        <w:tc>
          <w:tcPr>
            <w:tcW w:w="1814" w:type="dxa"/>
            <w:vMerge w:val="restart"/>
          </w:tcPr>
          <w:p w14:paraId="64398CED"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0EE045EE" w14:textId="77777777" w:rsidR="00F552D7" w:rsidRPr="00C1486D" w:rsidRDefault="00F552D7">
            <w:pPr>
              <w:spacing w:line="600" w:lineRule="exact"/>
              <w:ind w:firstLine="120"/>
              <w:jc w:val="both"/>
              <w:rPr>
                <w:rFonts w:eastAsia="標楷體"/>
                <w:sz w:val="26"/>
              </w:rPr>
            </w:pPr>
            <w:r w:rsidRPr="00C1486D">
              <w:rPr>
                <w:rFonts w:eastAsia="標楷體"/>
                <w:sz w:val="26"/>
              </w:rPr>
              <w:t>（二）</w:t>
            </w:r>
          </w:p>
        </w:tc>
        <w:tc>
          <w:tcPr>
            <w:tcW w:w="3969" w:type="dxa"/>
          </w:tcPr>
          <w:p w14:paraId="4CE7692B" w14:textId="77777777" w:rsidR="00F552D7" w:rsidRPr="00C1486D" w:rsidRDefault="00F552D7">
            <w:pPr>
              <w:spacing w:line="600" w:lineRule="exact"/>
              <w:jc w:val="both"/>
              <w:rPr>
                <w:rFonts w:eastAsia="標楷體"/>
                <w:sz w:val="26"/>
              </w:rPr>
            </w:pPr>
            <w:r w:rsidRPr="00C1486D">
              <w:rPr>
                <w:rFonts w:eastAsia="標楷體"/>
                <w:sz w:val="26"/>
              </w:rPr>
              <w:t>姓名：</w:t>
            </w:r>
          </w:p>
        </w:tc>
        <w:tc>
          <w:tcPr>
            <w:tcW w:w="3743" w:type="dxa"/>
          </w:tcPr>
          <w:p w14:paraId="64BA68D1" w14:textId="77777777" w:rsidR="00F552D7" w:rsidRPr="00C1486D" w:rsidRDefault="00F552D7">
            <w:pPr>
              <w:spacing w:line="600" w:lineRule="exact"/>
              <w:ind w:right="-1566"/>
              <w:jc w:val="both"/>
              <w:rPr>
                <w:rFonts w:eastAsia="標楷體"/>
                <w:sz w:val="26"/>
              </w:rPr>
            </w:pPr>
            <w:r w:rsidRPr="00C1486D">
              <w:rPr>
                <w:rFonts w:eastAsia="標楷體"/>
                <w:sz w:val="26"/>
              </w:rPr>
              <w:t>機關：</w:t>
            </w:r>
          </w:p>
        </w:tc>
      </w:tr>
      <w:tr w:rsidR="00F552D7" w:rsidRPr="00C1486D" w14:paraId="160211CB" w14:textId="77777777" w:rsidTr="00B07BAC">
        <w:trPr>
          <w:cantSplit/>
        </w:trPr>
        <w:tc>
          <w:tcPr>
            <w:tcW w:w="1814" w:type="dxa"/>
            <w:vMerge/>
          </w:tcPr>
          <w:p w14:paraId="5739C6AC" w14:textId="77777777" w:rsidR="00F552D7" w:rsidRPr="00C1486D" w:rsidRDefault="00F552D7">
            <w:pPr>
              <w:spacing w:line="600" w:lineRule="exact"/>
              <w:ind w:firstLine="120"/>
              <w:jc w:val="both"/>
              <w:rPr>
                <w:rFonts w:eastAsia="標楷體"/>
                <w:sz w:val="26"/>
              </w:rPr>
            </w:pPr>
          </w:p>
        </w:tc>
        <w:tc>
          <w:tcPr>
            <w:tcW w:w="3969" w:type="dxa"/>
          </w:tcPr>
          <w:p w14:paraId="5E87A939"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1573C966" w14:textId="77777777" w:rsidR="00F552D7" w:rsidRPr="00C1486D" w:rsidRDefault="00F552D7">
            <w:pPr>
              <w:spacing w:line="600" w:lineRule="exact"/>
              <w:ind w:right="-1566"/>
              <w:jc w:val="both"/>
              <w:rPr>
                <w:rFonts w:eastAsia="標楷體"/>
                <w:sz w:val="26"/>
              </w:rPr>
            </w:pPr>
            <w:r w:rsidRPr="00C1486D">
              <w:rPr>
                <w:rFonts w:eastAsia="標楷體"/>
                <w:sz w:val="26"/>
              </w:rPr>
              <w:t>單位：</w:t>
            </w:r>
          </w:p>
        </w:tc>
      </w:tr>
      <w:tr w:rsidR="00F552D7" w:rsidRPr="00C1486D" w14:paraId="2775F69C" w14:textId="77777777" w:rsidTr="00B07BAC">
        <w:trPr>
          <w:cantSplit/>
        </w:trPr>
        <w:tc>
          <w:tcPr>
            <w:tcW w:w="1814" w:type="dxa"/>
            <w:vMerge w:val="restart"/>
          </w:tcPr>
          <w:p w14:paraId="68715403"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5EB0EAED" w14:textId="77777777" w:rsidR="00F552D7" w:rsidRPr="00C1486D" w:rsidRDefault="00F552D7">
            <w:pPr>
              <w:spacing w:line="600" w:lineRule="exact"/>
              <w:ind w:firstLine="120"/>
              <w:jc w:val="both"/>
              <w:rPr>
                <w:rFonts w:eastAsia="標楷體"/>
                <w:sz w:val="26"/>
              </w:rPr>
            </w:pPr>
            <w:r w:rsidRPr="00C1486D">
              <w:rPr>
                <w:rFonts w:eastAsia="標楷體"/>
                <w:sz w:val="26"/>
              </w:rPr>
              <w:t>（三）</w:t>
            </w:r>
          </w:p>
        </w:tc>
        <w:tc>
          <w:tcPr>
            <w:tcW w:w="3969" w:type="dxa"/>
          </w:tcPr>
          <w:p w14:paraId="44317F42" w14:textId="77777777" w:rsidR="00F552D7" w:rsidRPr="00C1486D" w:rsidRDefault="00F552D7">
            <w:pPr>
              <w:spacing w:line="600" w:lineRule="exact"/>
              <w:jc w:val="both"/>
              <w:rPr>
                <w:rFonts w:eastAsia="標楷體"/>
                <w:sz w:val="26"/>
              </w:rPr>
            </w:pPr>
            <w:r w:rsidRPr="00C1486D">
              <w:rPr>
                <w:rFonts w:eastAsia="標楷體"/>
                <w:sz w:val="26"/>
              </w:rPr>
              <w:t>姓名：</w:t>
            </w:r>
          </w:p>
        </w:tc>
        <w:tc>
          <w:tcPr>
            <w:tcW w:w="3743" w:type="dxa"/>
          </w:tcPr>
          <w:p w14:paraId="39EBD5CD" w14:textId="77777777" w:rsidR="00F552D7" w:rsidRPr="00C1486D" w:rsidRDefault="00F552D7">
            <w:pPr>
              <w:spacing w:line="600" w:lineRule="exact"/>
              <w:ind w:right="-1566"/>
              <w:jc w:val="both"/>
              <w:rPr>
                <w:rFonts w:eastAsia="標楷體"/>
                <w:sz w:val="26"/>
              </w:rPr>
            </w:pPr>
            <w:r w:rsidRPr="00C1486D">
              <w:rPr>
                <w:rFonts w:eastAsia="標楷體"/>
                <w:sz w:val="26"/>
              </w:rPr>
              <w:t>機關：</w:t>
            </w:r>
          </w:p>
        </w:tc>
      </w:tr>
      <w:tr w:rsidR="00F552D7" w:rsidRPr="00C1486D" w14:paraId="022D0732" w14:textId="77777777" w:rsidTr="00B07BAC">
        <w:trPr>
          <w:cantSplit/>
        </w:trPr>
        <w:tc>
          <w:tcPr>
            <w:tcW w:w="1814" w:type="dxa"/>
            <w:vMerge/>
          </w:tcPr>
          <w:p w14:paraId="7382900B" w14:textId="77777777" w:rsidR="00F552D7" w:rsidRPr="00C1486D" w:rsidRDefault="00F552D7">
            <w:pPr>
              <w:spacing w:line="600" w:lineRule="exact"/>
              <w:ind w:firstLine="120"/>
              <w:jc w:val="both"/>
              <w:rPr>
                <w:rFonts w:eastAsia="標楷體"/>
                <w:sz w:val="26"/>
              </w:rPr>
            </w:pPr>
          </w:p>
        </w:tc>
        <w:tc>
          <w:tcPr>
            <w:tcW w:w="3969" w:type="dxa"/>
          </w:tcPr>
          <w:p w14:paraId="72DCD9DF"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1D9F4529" w14:textId="77777777" w:rsidR="00F552D7" w:rsidRPr="00C1486D" w:rsidRDefault="00F552D7">
            <w:pPr>
              <w:spacing w:line="600" w:lineRule="exact"/>
              <w:ind w:right="-1566"/>
              <w:jc w:val="both"/>
              <w:rPr>
                <w:rFonts w:eastAsia="標楷體"/>
                <w:sz w:val="26"/>
              </w:rPr>
            </w:pPr>
            <w:r w:rsidRPr="00C1486D">
              <w:rPr>
                <w:rFonts w:eastAsia="標楷體"/>
                <w:sz w:val="26"/>
              </w:rPr>
              <w:t>單位：</w:t>
            </w:r>
          </w:p>
        </w:tc>
      </w:tr>
      <w:tr w:rsidR="00F552D7" w:rsidRPr="00C1486D" w14:paraId="6750C726" w14:textId="77777777" w:rsidTr="00B07BAC">
        <w:trPr>
          <w:cantSplit/>
        </w:trPr>
        <w:tc>
          <w:tcPr>
            <w:tcW w:w="1814" w:type="dxa"/>
            <w:vMerge w:val="restart"/>
          </w:tcPr>
          <w:p w14:paraId="1479BFB7"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1DBC8BF4" w14:textId="77777777" w:rsidR="00F552D7" w:rsidRPr="00C1486D" w:rsidRDefault="00F552D7">
            <w:pPr>
              <w:spacing w:line="600" w:lineRule="exact"/>
              <w:ind w:firstLine="120"/>
              <w:jc w:val="both"/>
              <w:rPr>
                <w:rFonts w:eastAsia="標楷體"/>
                <w:sz w:val="26"/>
              </w:rPr>
            </w:pPr>
            <w:r w:rsidRPr="00C1486D">
              <w:rPr>
                <w:rFonts w:eastAsia="標楷體"/>
                <w:sz w:val="26"/>
              </w:rPr>
              <w:t>（四）</w:t>
            </w:r>
          </w:p>
        </w:tc>
        <w:tc>
          <w:tcPr>
            <w:tcW w:w="3969" w:type="dxa"/>
          </w:tcPr>
          <w:p w14:paraId="6551CA28" w14:textId="77777777" w:rsidR="00F552D7" w:rsidRPr="00C1486D" w:rsidRDefault="00F552D7">
            <w:pPr>
              <w:spacing w:line="600" w:lineRule="exact"/>
              <w:jc w:val="both"/>
              <w:rPr>
                <w:rFonts w:eastAsia="標楷體"/>
                <w:sz w:val="26"/>
              </w:rPr>
            </w:pPr>
            <w:r w:rsidRPr="00C1486D">
              <w:rPr>
                <w:rFonts w:eastAsia="標楷體"/>
                <w:sz w:val="26"/>
              </w:rPr>
              <w:t>姓名：</w:t>
            </w:r>
          </w:p>
        </w:tc>
        <w:tc>
          <w:tcPr>
            <w:tcW w:w="3743" w:type="dxa"/>
          </w:tcPr>
          <w:p w14:paraId="0DC55B6B" w14:textId="77777777" w:rsidR="00F552D7" w:rsidRPr="00C1486D" w:rsidRDefault="00F552D7">
            <w:pPr>
              <w:spacing w:line="600" w:lineRule="exact"/>
              <w:ind w:right="-1566"/>
              <w:jc w:val="both"/>
              <w:rPr>
                <w:rFonts w:eastAsia="標楷體"/>
                <w:sz w:val="26"/>
              </w:rPr>
            </w:pPr>
            <w:r w:rsidRPr="00C1486D">
              <w:rPr>
                <w:rFonts w:eastAsia="標楷體"/>
                <w:sz w:val="26"/>
              </w:rPr>
              <w:t>機關：</w:t>
            </w:r>
          </w:p>
        </w:tc>
      </w:tr>
      <w:tr w:rsidR="00F552D7" w:rsidRPr="00C1486D" w14:paraId="778C04B1" w14:textId="77777777" w:rsidTr="00B07BAC">
        <w:trPr>
          <w:cantSplit/>
        </w:trPr>
        <w:tc>
          <w:tcPr>
            <w:tcW w:w="1814" w:type="dxa"/>
            <w:vMerge/>
          </w:tcPr>
          <w:p w14:paraId="20F4EE40" w14:textId="77777777" w:rsidR="00F552D7" w:rsidRPr="00C1486D" w:rsidRDefault="00F552D7">
            <w:pPr>
              <w:spacing w:line="600" w:lineRule="exact"/>
              <w:ind w:firstLine="120"/>
              <w:jc w:val="both"/>
              <w:rPr>
                <w:rFonts w:eastAsia="標楷體"/>
                <w:sz w:val="26"/>
              </w:rPr>
            </w:pPr>
          </w:p>
        </w:tc>
        <w:tc>
          <w:tcPr>
            <w:tcW w:w="3969" w:type="dxa"/>
          </w:tcPr>
          <w:p w14:paraId="6F64C0DF"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074830FD" w14:textId="77777777" w:rsidR="00F552D7" w:rsidRPr="00C1486D" w:rsidRDefault="00F552D7">
            <w:pPr>
              <w:spacing w:line="600" w:lineRule="exact"/>
              <w:ind w:right="-1566"/>
              <w:jc w:val="both"/>
              <w:rPr>
                <w:rFonts w:eastAsia="標楷體"/>
                <w:sz w:val="26"/>
              </w:rPr>
            </w:pPr>
            <w:r w:rsidRPr="00C1486D">
              <w:rPr>
                <w:rFonts w:eastAsia="標楷體"/>
                <w:sz w:val="26"/>
              </w:rPr>
              <w:t>單位：</w:t>
            </w:r>
          </w:p>
        </w:tc>
      </w:tr>
    </w:tbl>
    <w:p w14:paraId="519CEFA3" w14:textId="77777777" w:rsidR="004E2477" w:rsidRPr="00C1486D" w:rsidRDefault="004E2477">
      <w:pPr>
        <w:tabs>
          <w:tab w:val="num" w:pos="826"/>
        </w:tabs>
        <w:spacing w:line="360" w:lineRule="exact"/>
        <w:ind w:leftChars="-5" w:left="3477" w:hangingChars="1245" w:hanging="3489"/>
        <w:jc w:val="center"/>
        <w:rPr>
          <w:rFonts w:eastAsia="標楷體"/>
          <w:b/>
          <w:bCs/>
          <w:noProof/>
          <w:sz w:val="28"/>
        </w:rPr>
      </w:pPr>
    </w:p>
    <w:p w14:paraId="0CA22B71" w14:textId="77777777" w:rsidR="003A19EC" w:rsidRPr="00C1486D" w:rsidRDefault="003A19EC">
      <w:pPr>
        <w:tabs>
          <w:tab w:val="num" w:pos="826"/>
        </w:tabs>
        <w:spacing w:line="360" w:lineRule="exact"/>
        <w:ind w:leftChars="-5" w:left="3477" w:hangingChars="1245" w:hanging="3489"/>
        <w:jc w:val="center"/>
        <w:rPr>
          <w:rFonts w:eastAsia="標楷體"/>
          <w:b/>
          <w:bCs/>
          <w:noProof/>
          <w:sz w:val="28"/>
        </w:rPr>
        <w:sectPr w:rsidR="003A19EC" w:rsidRPr="00C1486D">
          <w:pgSz w:w="11906" w:h="16838"/>
          <w:pgMar w:top="1440" w:right="1800" w:bottom="1440" w:left="1800" w:header="851" w:footer="992" w:gutter="0"/>
          <w:cols w:space="425"/>
          <w:docGrid w:type="lines" w:linePitch="360"/>
        </w:sectPr>
      </w:pPr>
    </w:p>
    <w:p w14:paraId="44693EC1" w14:textId="77777777" w:rsidR="00F552D7" w:rsidRPr="00C1486D" w:rsidRDefault="00B07BAC">
      <w:pPr>
        <w:tabs>
          <w:tab w:val="num" w:pos="826"/>
        </w:tabs>
        <w:spacing w:line="360" w:lineRule="exact"/>
        <w:ind w:leftChars="-5" w:left="3477" w:hangingChars="1245" w:hanging="3489"/>
        <w:jc w:val="center"/>
        <w:rPr>
          <w:rFonts w:eastAsia="標楷體"/>
          <w:b/>
          <w:bCs/>
          <w:noProof/>
          <w:sz w:val="28"/>
        </w:rPr>
      </w:pPr>
      <w:r w:rsidRPr="00C1486D">
        <w:rPr>
          <w:rFonts w:eastAsia="標楷體"/>
          <w:b/>
          <w:bCs/>
          <w:noProof/>
          <w:sz w:val="28"/>
        </w:rPr>
        <w:lastRenderedPageBreak/>
        <w:t>研究計畫</w:t>
      </w:r>
      <w:r w:rsidR="00F552D7" w:rsidRPr="00C1486D">
        <w:rPr>
          <w:rFonts w:eastAsia="標楷體"/>
          <w:b/>
          <w:bCs/>
          <w:noProof/>
          <w:sz w:val="28"/>
        </w:rPr>
        <w:t>摘要</w:t>
      </w:r>
    </w:p>
    <w:p w14:paraId="2B437F87" w14:textId="77777777" w:rsidR="0086749D" w:rsidRDefault="0086749D" w:rsidP="003142F5">
      <w:pPr>
        <w:rPr>
          <w:rFonts w:eastAsia="標楷體"/>
          <w:b/>
        </w:rPr>
      </w:pPr>
    </w:p>
    <w:p w14:paraId="7AC0FE42" w14:textId="0B252685" w:rsidR="00B07BAC" w:rsidRPr="00C1486D" w:rsidRDefault="001B6C88" w:rsidP="003142F5">
      <w:pPr>
        <w:rPr>
          <w:rFonts w:eastAsia="標楷體"/>
          <w:b/>
          <w:color w:val="000000"/>
        </w:rPr>
      </w:pPr>
      <w:r w:rsidRPr="00C1486D">
        <w:rPr>
          <w:rFonts w:eastAsia="標楷體"/>
          <w:b/>
          <w:color w:val="000000"/>
        </w:rPr>
        <w:t>ㄧ、試驗目的</w:t>
      </w:r>
      <w:r w:rsidR="00B07BAC" w:rsidRPr="00C1486D">
        <w:rPr>
          <w:rFonts w:eastAsia="標楷體"/>
          <w:b/>
          <w:color w:val="000000"/>
        </w:rPr>
        <w:t>：</w:t>
      </w:r>
    </w:p>
    <w:p w14:paraId="7B0A1831" w14:textId="6B8AACA0" w:rsidR="00AA1386" w:rsidRPr="00C1486D" w:rsidRDefault="0086749D" w:rsidP="00AA1386">
      <w:pPr>
        <w:numPr>
          <w:ilvl w:val="0"/>
          <w:numId w:val="5"/>
        </w:numPr>
        <w:rPr>
          <w:rFonts w:eastAsia="標楷體"/>
          <w:color w:val="000000"/>
        </w:rPr>
      </w:pPr>
      <w:r>
        <w:rPr>
          <w:rFonts w:eastAsia="標楷體" w:hint="eastAsia"/>
          <w:color w:val="000000"/>
        </w:rPr>
        <w:t>釐清</w:t>
      </w:r>
      <w:r w:rsidRPr="0086749D">
        <w:rPr>
          <w:rFonts w:eastAsia="標楷體" w:hint="eastAsia"/>
          <w:color w:val="000000"/>
        </w:rPr>
        <w:t>慢性</w:t>
      </w:r>
      <w:r w:rsidRPr="0086749D">
        <w:rPr>
          <w:rFonts w:eastAsia="標楷體"/>
          <w:color w:val="000000"/>
        </w:rPr>
        <w:t>B</w:t>
      </w:r>
      <w:r w:rsidRPr="0086749D">
        <w:rPr>
          <w:rFonts w:eastAsia="標楷體" w:hint="eastAsia"/>
          <w:color w:val="000000"/>
        </w:rPr>
        <w:t>型肝炎患者停止類核苷</w:t>
      </w:r>
      <w:r w:rsidRPr="0086749D">
        <w:rPr>
          <w:rFonts w:eastAsia="標楷體"/>
          <w:color w:val="000000"/>
        </w:rPr>
        <w:t>(</w:t>
      </w:r>
      <w:r w:rsidRPr="0086749D">
        <w:rPr>
          <w:rFonts w:eastAsia="標楷體" w:hint="eastAsia"/>
          <w:color w:val="000000"/>
        </w:rPr>
        <w:t>酸</w:t>
      </w:r>
      <w:r w:rsidRPr="0086749D">
        <w:rPr>
          <w:rFonts w:eastAsia="標楷體"/>
          <w:color w:val="000000"/>
        </w:rPr>
        <w:t>)</w:t>
      </w:r>
      <w:r w:rsidRPr="0086749D">
        <w:rPr>
          <w:rFonts w:eastAsia="標楷體" w:hint="eastAsia"/>
          <w:color w:val="000000"/>
        </w:rPr>
        <w:t>藥物治療後</w:t>
      </w:r>
      <w:r>
        <w:rPr>
          <w:rFonts w:eastAsia="標楷體" w:hint="eastAsia"/>
          <w:color w:val="000000"/>
        </w:rPr>
        <w:t>若發作</w:t>
      </w:r>
      <w:r w:rsidRPr="0086749D">
        <w:rPr>
          <w:rFonts w:eastAsia="標楷體" w:hint="eastAsia"/>
          <w:color w:val="000000"/>
        </w:rPr>
        <w:t>急性肝炎</w:t>
      </w:r>
      <w:r>
        <w:rPr>
          <w:rFonts w:eastAsia="標楷體" w:hint="eastAsia"/>
          <w:color w:val="000000"/>
        </w:rPr>
        <w:t>，</w:t>
      </w:r>
      <w:r w:rsidRPr="0086749D">
        <w:rPr>
          <w:rFonts w:eastAsia="標楷體" w:hint="eastAsia"/>
          <w:color w:val="000000"/>
        </w:rPr>
        <w:t>是否會影響</w:t>
      </w:r>
      <w:r w:rsidRPr="0086749D">
        <w:rPr>
          <w:rFonts w:eastAsia="標楷體"/>
          <w:color w:val="000000"/>
        </w:rPr>
        <w:t>B</w:t>
      </w:r>
      <w:r w:rsidRPr="0086749D">
        <w:rPr>
          <w:rFonts w:eastAsia="標楷體" w:hint="eastAsia"/>
          <w:color w:val="000000"/>
        </w:rPr>
        <w:t>型肝炎表面抗原血清清除發生率</w:t>
      </w:r>
    </w:p>
    <w:p w14:paraId="4D4F15B2" w14:textId="77777777" w:rsidR="00AA1386" w:rsidRPr="00C1486D" w:rsidRDefault="00AA1386" w:rsidP="00AA1386">
      <w:pPr>
        <w:ind w:left="480"/>
        <w:rPr>
          <w:rFonts w:eastAsia="標楷體"/>
          <w:color w:val="000000"/>
        </w:rPr>
      </w:pPr>
    </w:p>
    <w:p w14:paraId="6E003E47" w14:textId="77777777" w:rsidR="00B07BAC" w:rsidRPr="00C1486D" w:rsidRDefault="00B07BAC" w:rsidP="003142F5">
      <w:pPr>
        <w:rPr>
          <w:rFonts w:eastAsia="標楷體"/>
          <w:b/>
          <w:color w:val="000000"/>
        </w:rPr>
      </w:pPr>
      <w:r w:rsidRPr="00C1486D">
        <w:rPr>
          <w:rFonts w:eastAsia="標楷體"/>
          <w:b/>
          <w:color w:val="000000"/>
        </w:rPr>
        <w:t>二、研究背景：</w:t>
      </w:r>
    </w:p>
    <w:p w14:paraId="42FA8D12" w14:textId="6A2F4A1B" w:rsidR="00C73079" w:rsidRPr="00C1486D" w:rsidRDefault="0086749D" w:rsidP="003142F5">
      <w:pPr>
        <w:rPr>
          <w:rFonts w:eastAsia="標楷體"/>
          <w:color w:val="000000"/>
        </w:rPr>
      </w:pPr>
      <w:r w:rsidRPr="0086749D">
        <w:rPr>
          <w:rFonts w:eastAsia="標楷體" w:hint="eastAsia"/>
          <w:color w:val="000000"/>
        </w:rPr>
        <w:t>患有</w:t>
      </w:r>
      <w:r>
        <w:rPr>
          <w:rFonts w:eastAsia="標楷體" w:hint="eastAsia"/>
          <w:color w:val="000000"/>
        </w:rPr>
        <w:t>慢性</w:t>
      </w:r>
      <w:r>
        <w:rPr>
          <w:rFonts w:eastAsia="標楷體" w:hint="eastAsia"/>
          <w:color w:val="000000"/>
        </w:rPr>
        <w:t>B</w:t>
      </w:r>
      <w:r w:rsidRPr="0086749D">
        <w:rPr>
          <w:rFonts w:eastAsia="標楷體" w:hint="eastAsia"/>
          <w:color w:val="000000"/>
        </w:rPr>
        <w:t>型肝炎病毒感染的病人在停止使用核苷</w:t>
      </w:r>
      <w:r w:rsidRPr="0086749D">
        <w:rPr>
          <w:rFonts w:eastAsia="標楷體"/>
          <w:color w:val="000000"/>
        </w:rPr>
        <w:t>(</w:t>
      </w:r>
      <w:r w:rsidRPr="0086749D">
        <w:rPr>
          <w:rFonts w:eastAsia="標楷體" w:hint="eastAsia"/>
          <w:color w:val="000000"/>
        </w:rPr>
        <w:t>酸</w:t>
      </w:r>
      <w:r w:rsidRPr="0086749D">
        <w:rPr>
          <w:rFonts w:eastAsia="標楷體"/>
          <w:color w:val="000000"/>
        </w:rPr>
        <w:t>)</w:t>
      </w:r>
      <w:r w:rsidRPr="0086749D">
        <w:rPr>
          <w:rFonts w:eastAsia="標楷體" w:hint="eastAsia"/>
          <w:color w:val="000000"/>
        </w:rPr>
        <w:t>類似物治療後經常會經歷急性肝炎發</w:t>
      </w:r>
      <w:r>
        <w:rPr>
          <w:rFonts w:eastAsia="標楷體" w:hint="eastAsia"/>
          <w:color w:val="000000"/>
        </w:rPr>
        <w:t>作</w:t>
      </w:r>
      <w:r w:rsidRPr="0086749D">
        <w:rPr>
          <w:rFonts w:eastAsia="標楷體" w:hint="eastAsia"/>
          <w:color w:val="000000"/>
        </w:rPr>
        <w:t>。這些</w:t>
      </w:r>
      <w:r>
        <w:rPr>
          <w:rFonts w:eastAsia="標楷體" w:hint="eastAsia"/>
          <w:color w:val="000000"/>
        </w:rPr>
        <w:t>肝炎發作</w:t>
      </w:r>
      <w:r w:rsidRPr="0086749D">
        <w:rPr>
          <w:rFonts w:eastAsia="標楷體" w:hint="eastAsia"/>
          <w:color w:val="000000"/>
        </w:rPr>
        <w:t>可能會導致肝功能衰竭，但也被認為可以促進</w:t>
      </w:r>
      <w:r>
        <w:rPr>
          <w:rFonts w:eastAsia="標楷體" w:hint="eastAsia"/>
          <w:color w:val="000000"/>
        </w:rPr>
        <w:t>B</w:t>
      </w:r>
      <w:r w:rsidRPr="0086749D">
        <w:rPr>
          <w:rFonts w:eastAsia="標楷體" w:hint="eastAsia"/>
          <w:color w:val="000000"/>
        </w:rPr>
        <w:t>型肝炎表面抗原</w:t>
      </w:r>
      <w:r w:rsidRPr="0086749D">
        <w:rPr>
          <w:rFonts w:eastAsia="標楷體"/>
          <w:color w:val="000000"/>
        </w:rPr>
        <w:t>(HBsAg)</w:t>
      </w:r>
      <w:r w:rsidRPr="0086749D">
        <w:rPr>
          <w:rFonts w:eastAsia="標楷體" w:hint="eastAsia"/>
          <w:color w:val="000000"/>
        </w:rPr>
        <w:t>的血清清除，這是停止使用核苷</w:t>
      </w:r>
      <w:r w:rsidRPr="0086749D">
        <w:rPr>
          <w:rFonts w:eastAsia="標楷體"/>
          <w:color w:val="000000"/>
        </w:rPr>
        <w:t>(</w:t>
      </w:r>
      <w:r w:rsidRPr="0086749D">
        <w:rPr>
          <w:rFonts w:eastAsia="標楷體" w:hint="eastAsia"/>
          <w:color w:val="000000"/>
        </w:rPr>
        <w:t>酸</w:t>
      </w:r>
      <w:r w:rsidRPr="0086749D">
        <w:rPr>
          <w:rFonts w:eastAsia="標楷體"/>
          <w:color w:val="000000"/>
        </w:rPr>
        <w:t>)</w:t>
      </w:r>
      <w:r w:rsidRPr="0086749D">
        <w:rPr>
          <w:rFonts w:eastAsia="標楷體" w:hint="eastAsia"/>
          <w:color w:val="000000"/>
        </w:rPr>
        <w:t>類似物的主要理由之一。我們的目的是評估和</w:t>
      </w:r>
      <w:r>
        <w:rPr>
          <w:rFonts w:eastAsia="標楷體" w:hint="eastAsia"/>
          <w:color w:val="000000"/>
        </w:rPr>
        <w:t>釐</w:t>
      </w:r>
      <w:r w:rsidRPr="0086749D">
        <w:rPr>
          <w:rFonts w:eastAsia="標楷體" w:hint="eastAsia"/>
          <w:color w:val="000000"/>
        </w:rPr>
        <w:t>清在慢性</w:t>
      </w:r>
      <w:r>
        <w:rPr>
          <w:rFonts w:eastAsia="標楷體" w:hint="eastAsia"/>
          <w:color w:val="000000"/>
        </w:rPr>
        <w:t>B</w:t>
      </w:r>
      <w:r w:rsidRPr="0086749D">
        <w:rPr>
          <w:rFonts w:eastAsia="標楷體" w:hint="eastAsia"/>
          <w:color w:val="000000"/>
        </w:rPr>
        <w:t>型肝炎患者中，核苷</w:t>
      </w:r>
      <w:r w:rsidRPr="0086749D">
        <w:rPr>
          <w:rFonts w:eastAsia="標楷體"/>
          <w:color w:val="000000"/>
        </w:rPr>
        <w:t>(</w:t>
      </w:r>
      <w:r w:rsidRPr="0086749D">
        <w:rPr>
          <w:rFonts w:eastAsia="標楷體" w:hint="eastAsia"/>
          <w:color w:val="000000"/>
        </w:rPr>
        <w:t>酸</w:t>
      </w:r>
      <w:r w:rsidRPr="0086749D">
        <w:rPr>
          <w:rFonts w:eastAsia="標楷體"/>
          <w:color w:val="000000"/>
        </w:rPr>
        <w:t>)</w:t>
      </w:r>
      <w:r w:rsidRPr="0086749D">
        <w:rPr>
          <w:rFonts w:eastAsia="標楷體" w:hint="eastAsia"/>
          <w:color w:val="000000"/>
        </w:rPr>
        <w:t>類似物停藥後急性肝炎</w:t>
      </w:r>
      <w:r>
        <w:rPr>
          <w:rFonts w:eastAsia="標楷體" w:hint="eastAsia"/>
          <w:color w:val="000000"/>
        </w:rPr>
        <w:t>發作</w:t>
      </w:r>
      <w:r w:rsidRPr="0086749D">
        <w:rPr>
          <w:rFonts w:eastAsia="標楷體" w:hint="eastAsia"/>
          <w:color w:val="000000"/>
        </w:rPr>
        <w:t>與隨後的</w:t>
      </w:r>
      <w:r w:rsidRPr="0086749D">
        <w:rPr>
          <w:rFonts w:eastAsia="標楷體"/>
          <w:color w:val="000000"/>
        </w:rPr>
        <w:t>HBsAg</w:t>
      </w:r>
      <w:r w:rsidRPr="0086749D">
        <w:rPr>
          <w:rFonts w:eastAsia="標楷體" w:hint="eastAsia"/>
          <w:color w:val="000000"/>
        </w:rPr>
        <w:t>血清清除之間的關聯。</w:t>
      </w:r>
    </w:p>
    <w:p w14:paraId="4E77A175" w14:textId="77777777" w:rsidR="006F3A64" w:rsidRPr="00C1486D" w:rsidRDefault="006F3A64" w:rsidP="003142F5">
      <w:pPr>
        <w:rPr>
          <w:rFonts w:eastAsia="標楷體"/>
          <w:b/>
          <w:color w:val="000000"/>
        </w:rPr>
      </w:pPr>
    </w:p>
    <w:p w14:paraId="2102C681" w14:textId="77777777" w:rsidR="00261B60" w:rsidRPr="00C1486D" w:rsidRDefault="00261B60" w:rsidP="003142F5">
      <w:pPr>
        <w:rPr>
          <w:rFonts w:eastAsia="標楷體"/>
          <w:b/>
          <w:color w:val="000000"/>
        </w:rPr>
      </w:pPr>
      <w:r w:rsidRPr="00C1486D">
        <w:rPr>
          <w:rFonts w:eastAsia="標楷體"/>
          <w:b/>
          <w:color w:val="000000"/>
        </w:rPr>
        <w:t>三、研究方法：</w:t>
      </w:r>
    </w:p>
    <w:p w14:paraId="6B395764" w14:textId="405BEACB" w:rsidR="00261B60" w:rsidRPr="00C1486D" w:rsidRDefault="0086749D" w:rsidP="006F3A64">
      <w:pPr>
        <w:jc w:val="both"/>
        <w:rPr>
          <w:rFonts w:eastAsia="標楷體"/>
          <w:color w:val="000000"/>
        </w:rPr>
      </w:pPr>
      <w:r w:rsidRPr="0086749D">
        <w:rPr>
          <w:rFonts w:eastAsia="標楷體" w:hint="eastAsia"/>
          <w:color w:val="000000"/>
        </w:rPr>
        <w:t>這是一項多中心的</w:t>
      </w:r>
      <w:r>
        <w:rPr>
          <w:rFonts w:eastAsia="標楷體" w:hint="eastAsia"/>
          <w:color w:val="000000"/>
        </w:rPr>
        <w:t>回溯世代</w:t>
      </w:r>
      <w:r w:rsidRPr="0086749D">
        <w:rPr>
          <w:rFonts w:eastAsia="標楷體" w:hint="eastAsia"/>
          <w:color w:val="000000"/>
        </w:rPr>
        <w:t>研究，</w:t>
      </w:r>
      <w:r>
        <w:rPr>
          <w:rFonts w:eastAsia="標楷體" w:hint="eastAsia"/>
          <w:color w:val="000000"/>
        </w:rPr>
        <w:t>我們將</w:t>
      </w:r>
      <w:r w:rsidRPr="0086749D">
        <w:rPr>
          <w:rFonts w:eastAsia="標楷體" w:hint="eastAsia"/>
          <w:color w:val="000000"/>
        </w:rPr>
        <w:t>系統性</w:t>
      </w:r>
      <w:r>
        <w:rPr>
          <w:rFonts w:eastAsia="標楷體" w:hint="eastAsia"/>
          <w:color w:val="000000"/>
        </w:rPr>
        <w:t>分析義大醫療體系</w:t>
      </w:r>
      <w:r w:rsidRPr="0086749D">
        <w:rPr>
          <w:rFonts w:eastAsia="標楷體" w:hint="eastAsia"/>
          <w:color w:val="000000"/>
        </w:rPr>
        <w:t>中接受</w:t>
      </w:r>
      <w:bookmarkStart w:id="0" w:name="_Hlk146883117"/>
      <w:r w:rsidRPr="0086749D">
        <w:rPr>
          <w:rFonts w:eastAsia="標楷體" w:hint="eastAsia"/>
          <w:color w:val="000000"/>
        </w:rPr>
        <w:t>核苷</w:t>
      </w:r>
      <w:r w:rsidRPr="0086749D">
        <w:rPr>
          <w:rFonts w:eastAsia="標楷體"/>
          <w:color w:val="000000"/>
        </w:rPr>
        <w:t>(</w:t>
      </w:r>
      <w:r w:rsidRPr="0086749D">
        <w:rPr>
          <w:rFonts w:eastAsia="標楷體" w:hint="eastAsia"/>
          <w:color w:val="000000"/>
        </w:rPr>
        <w:t>酸</w:t>
      </w:r>
      <w:r w:rsidRPr="0086749D">
        <w:rPr>
          <w:rFonts w:eastAsia="標楷體"/>
          <w:color w:val="000000"/>
        </w:rPr>
        <w:t>)</w:t>
      </w:r>
      <w:r w:rsidRPr="0086749D">
        <w:rPr>
          <w:rFonts w:eastAsia="標楷體" w:hint="eastAsia"/>
          <w:color w:val="000000"/>
        </w:rPr>
        <w:t>類似物</w:t>
      </w:r>
      <w:bookmarkEnd w:id="0"/>
      <w:r w:rsidRPr="0086749D">
        <w:rPr>
          <w:rFonts w:eastAsia="標楷體" w:hint="eastAsia"/>
          <w:color w:val="000000"/>
        </w:rPr>
        <w:t>治療的所有慢性</w:t>
      </w:r>
      <w:r w:rsidRPr="0086749D">
        <w:rPr>
          <w:rFonts w:eastAsia="標楷體" w:hint="eastAsia"/>
          <w:color w:val="000000"/>
        </w:rPr>
        <w:t>B</w:t>
      </w:r>
      <w:r w:rsidRPr="0086749D">
        <w:rPr>
          <w:rFonts w:eastAsia="標楷體" w:hint="eastAsia"/>
          <w:color w:val="000000"/>
        </w:rPr>
        <w:t>型肝炎患者。我們</w:t>
      </w:r>
      <w:r>
        <w:rPr>
          <w:rFonts w:eastAsia="標楷體" w:hint="eastAsia"/>
          <w:color w:val="000000"/>
        </w:rPr>
        <w:t>將</w:t>
      </w:r>
      <w:r w:rsidRPr="0086749D">
        <w:rPr>
          <w:rFonts w:eastAsia="標楷體" w:hint="eastAsia"/>
          <w:color w:val="000000"/>
        </w:rPr>
        <w:t>納入在</w:t>
      </w:r>
      <w:r w:rsidRPr="0086749D">
        <w:rPr>
          <w:rFonts w:eastAsia="標楷體"/>
          <w:color w:val="000000"/>
        </w:rPr>
        <w:t>2004</w:t>
      </w:r>
      <w:r w:rsidRPr="0086749D">
        <w:rPr>
          <w:rFonts w:eastAsia="標楷體" w:hint="eastAsia"/>
          <w:color w:val="000000"/>
        </w:rPr>
        <w:t>年</w:t>
      </w:r>
      <w:r w:rsidRPr="0086749D">
        <w:rPr>
          <w:rFonts w:eastAsia="標楷體"/>
          <w:color w:val="000000"/>
        </w:rPr>
        <w:t>4</w:t>
      </w:r>
      <w:r w:rsidRPr="0086749D">
        <w:rPr>
          <w:rFonts w:eastAsia="標楷體" w:hint="eastAsia"/>
          <w:color w:val="000000"/>
        </w:rPr>
        <w:t>月</w:t>
      </w:r>
      <w:r w:rsidRPr="0086749D">
        <w:rPr>
          <w:rFonts w:eastAsia="標楷體"/>
          <w:color w:val="000000"/>
        </w:rPr>
        <w:t>1</w:t>
      </w:r>
      <w:r w:rsidRPr="0086749D">
        <w:rPr>
          <w:rFonts w:eastAsia="標楷體" w:hint="eastAsia"/>
          <w:color w:val="000000"/>
        </w:rPr>
        <w:t>日至</w:t>
      </w:r>
      <w:r w:rsidRPr="0086749D">
        <w:rPr>
          <w:rFonts w:eastAsia="標楷體"/>
          <w:color w:val="000000"/>
        </w:rPr>
        <w:t>2022</w:t>
      </w:r>
      <w:r w:rsidRPr="0086749D">
        <w:rPr>
          <w:rFonts w:eastAsia="標楷體" w:hint="eastAsia"/>
          <w:color w:val="000000"/>
        </w:rPr>
        <w:t>年</w:t>
      </w:r>
      <w:r w:rsidRPr="0086749D">
        <w:rPr>
          <w:rFonts w:eastAsia="標楷體"/>
          <w:color w:val="000000"/>
        </w:rPr>
        <w:t>5</w:t>
      </w:r>
      <w:r w:rsidRPr="0086749D">
        <w:rPr>
          <w:rFonts w:eastAsia="標楷體" w:hint="eastAsia"/>
          <w:color w:val="000000"/>
        </w:rPr>
        <w:t>月</w:t>
      </w:r>
      <w:r w:rsidRPr="0086749D">
        <w:rPr>
          <w:rFonts w:eastAsia="標楷體"/>
          <w:color w:val="000000"/>
        </w:rPr>
        <w:t>24</w:t>
      </w:r>
      <w:r w:rsidRPr="0086749D">
        <w:rPr>
          <w:rFonts w:eastAsia="標楷體" w:hint="eastAsia"/>
          <w:color w:val="000000"/>
        </w:rPr>
        <w:t>日之間停止核苷</w:t>
      </w:r>
      <w:r w:rsidRPr="0086749D">
        <w:rPr>
          <w:rFonts w:eastAsia="標楷體"/>
          <w:color w:val="000000"/>
        </w:rPr>
        <w:t>(</w:t>
      </w:r>
      <w:r w:rsidRPr="0086749D">
        <w:rPr>
          <w:rFonts w:eastAsia="標楷體" w:hint="eastAsia"/>
          <w:color w:val="000000"/>
        </w:rPr>
        <w:t>酸</w:t>
      </w:r>
      <w:r w:rsidRPr="0086749D">
        <w:rPr>
          <w:rFonts w:eastAsia="標楷體"/>
          <w:color w:val="000000"/>
        </w:rPr>
        <w:t>)</w:t>
      </w:r>
      <w:r w:rsidRPr="0086749D">
        <w:rPr>
          <w:rFonts w:eastAsia="標楷體" w:hint="eastAsia"/>
          <w:color w:val="000000"/>
        </w:rPr>
        <w:t>類似物</w:t>
      </w:r>
      <w:r>
        <w:rPr>
          <w:rFonts w:eastAsia="標楷體" w:hint="eastAsia"/>
          <w:color w:val="000000"/>
        </w:rPr>
        <w:t>藥物</w:t>
      </w:r>
      <w:r w:rsidRPr="0086749D">
        <w:rPr>
          <w:rFonts w:eastAsia="標楷體" w:hint="eastAsia"/>
          <w:color w:val="000000"/>
        </w:rPr>
        <w:t>，且在停藥前至少</w:t>
      </w:r>
      <w:r w:rsidR="00541433">
        <w:rPr>
          <w:rFonts w:eastAsia="標楷體" w:hint="eastAsia"/>
          <w:color w:val="000000"/>
        </w:rPr>
        <w:t>已經</w:t>
      </w:r>
      <w:r w:rsidRPr="0086749D">
        <w:rPr>
          <w:rFonts w:eastAsia="標楷體" w:hint="eastAsia"/>
          <w:color w:val="000000"/>
        </w:rPr>
        <w:t>連續治療一年的成人</w:t>
      </w:r>
      <w:r w:rsidR="00541433">
        <w:rPr>
          <w:rFonts w:eastAsia="標楷體" w:hint="eastAsia"/>
          <w:color w:val="000000"/>
        </w:rPr>
        <w:t>，</w:t>
      </w:r>
      <w:r w:rsidRPr="0086749D">
        <w:rPr>
          <w:rFonts w:eastAsia="標楷體" w:hint="eastAsia"/>
          <w:color w:val="000000"/>
        </w:rPr>
        <w:t>惡性腫瘤、肝功能不全</w:t>
      </w:r>
      <w:r w:rsidRPr="0086749D">
        <w:rPr>
          <w:rFonts w:eastAsia="標楷體"/>
          <w:color w:val="000000"/>
        </w:rPr>
        <w:t>(</w:t>
      </w:r>
      <w:r w:rsidR="00541433">
        <w:rPr>
          <w:rFonts w:eastAsia="標楷體" w:hint="eastAsia"/>
          <w:color w:val="000000"/>
        </w:rPr>
        <w:t>經</w:t>
      </w:r>
      <w:r w:rsidRPr="0086749D">
        <w:rPr>
          <w:rFonts w:eastAsia="標楷體" w:hint="eastAsia"/>
          <w:color w:val="000000"/>
        </w:rPr>
        <w:t>由黃疸和凝血功能障礙定義</w:t>
      </w:r>
      <w:r w:rsidRPr="0086749D">
        <w:rPr>
          <w:rFonts w:eastAsia="標楷體"/>
          <w:color w:val="000000"/>
        </w:rPr>
        <w:t>)</w:t>
      </w:r>
      <w:r w:rsidRPr="0086749D">
        <w:rPr>
          <w:rFonts w:eastAsia="標楷體" w:hint="eastAsia"/>
          <w:color w:val="000000"/>
        </w:rPr>
        <w:t>或</w:t>
      </w:r>
      <w:r w:rsidR="00541433">
        <w:rPr>
          <w:rFonts w:eastAsia="標楷體" w:hint="eastAsia"/>
          <w:color w:val="000000"/>
        </w:rPr>
        <w:t>其他</w:t>
      </w:r>
      <w:r w:rsidRPr="0086749D">
        <w:rPr>
          <w:rFonts w:eastAsia="標楷體" w:hint="eastAsia"/>
          <w:color w:val="000000"/>
        </w:rPr>
        <w:t>病毒共感染的患者</w:t>
      </w:r>
      <w:r w:rsidR="00541433">
        <w:rPr>
          <w:rFonts w:eastAsia="標楷體" w:hint="eastAsia"/>
          <w:color w:val="000000"/>
        </w:rPr>
        <w:t>將被排除</w:t>
      </w:r>
      <w:r w:rsidRPr="0086749D">
        <w:rPr>
          <w:rFonts w:eastAsia="標楷體" w:hint="eastAsia"/>
          <w:color w:val="000000"/>
        </w:rPr>
        <w:t>。</w:t>
      </w:r>
      <w:r w:rsidR="00541433">
        <w:rPr>
          <w:rFonts w:eastAsia="標楷體" w:hint="eastAsia"/>
          <w:color w:val="000000"/>
        </w:rPr>
        <w:t>急性</w:t>
      </w:r>
      <w:r w:rsidRPr="0086749D">
        <w:rPr>
          <w:rFonts w:eastAsia="標楷體" w:hint="eastAsia"/>
          <w:color w:val="000000"/>
        </w:rPr>
        <w:t>肝炎發</w:t>
      </w:r>
      <w:r w:rsidR="00541433">
        <w:rPr>
          <w:rFonts w:eastAsia="標楷體" w:hint="eastAsia"/>
          <w:color w:val="000000"/>
        </w:rPr>
        <w:t>作的</w:t>
      </w:r>
      <w:r w:rsidRPr="0086749D">
        <w:rPr>
          <w:rFonts w:eastAsia="標楷體" w:hint="eastAsia"/>
          <w:color w:val="000000"/>
        </w:rPr>
        <w:t>定義</w:t>
      </w:r>
      <w:r w:rsidR="00541433">
        <w:rPr>
          <w:rFonts w:eastAsia="標楷體" w:hint="eastAsia"/>
          <w:color w:val="000000"/>
        </w:rPr>
        <w:t>是</w:t>
      </w:r>
      <w:r w:rsidRPr="0086749D">
        <w:rPr>
          <w:rFonts w:eastAsia="標楷體" w:hint="eastAsia"/>
          <w:color w:val="000000"/>
        </w:rPr>
        <w:t>血清丙氨酸轉氨酶</w:t>
      </w:r>
      <w:r w:rsidRPr="0086749D">
        <w:rPr>
          <w:rFonts w:eastAsia="標楷體"/>
          <w:color w:val="000000"/>
        </w:rPr>
        <w:t>(ALT)</w:t>
      </w:r>
      <w:r w:rsidR="00541433">
        <w:rPr>
          <w:rFonts w:eastAsia="標楷體" w:hint="eastAsia"/>
          <w:color w:val="000000"/>
        </w:rPr>
        <w:t>上升超過</w:t>
      </w:r>
      <w:r w:rsidRPr="0086749D">
        <w:rPr>
          <w:rFonts w:eastAsia="標楷體" w:hint="eastAsia"/>
          <w:color w:val="000000"/>
        </w:rPr>
        <w:t>正常上限</w:t>
      </w:r>
      <w:r w:rsidRPr="0086749D">
        <w:rPr>
          <w:rFonts w:eastAsia="標楷體"/>
          <w:color w:val="000000"/>
        </w:rPr>
        <w:t>(ULN; 40 U/L)5</w:t>
      </w:r>
      <w:r w:rsidRPr="0086749D">
        <w:rPr>
          <w:rFonts w:eastAsia="標楷體" w:hint="eastAsia"/>
          <w:color w:val="000000"/>
        </w:rPr>
        <w:t>倍</w:t>
      </w:r>
      <w:r w:rsidR="00541433">
        <w:rPr>
          <w:rFonts w:eastAsia="標楷體" w:hint="eastAsia"/>
          <w:color w:val="000000"/>
        </w:rPr>
        <w:t>，</w:t>
      </w:r>
      <w:r w:rsidRPr="0086749D">
        <w:rPr>
          <w:rFonts w:eastAsia="標楷體" w:hint="eastAsia"/>
          <w:color w:val="000000"/>
        </w:rPr>
        <w:t>主要</w:t>
      </w:r>
      <w:r w:rsidR="00541433">
        <w:rPr>
          <w:rFonts w:eastAsia="標楷體" w:hint="eastAsia"/>
          <w:color w:val="000000"/>
        </w:rPr>
        <w:t>研究結果事件</w:t>
      </w:r>
      <w:r w:rsidRPr="0086749D">
        <w:rPr>
          <w:rFonts w:eastAsia="標楷體" w:hint="eastAsia"/>
          <w:color w:val="000000"/>
        </w:rPr>
        <w:t>是</w:t>
      </w:r>
      <w:r w:rsidR="00541433" w:rsidRPr="00541433">
        <w:rPr>
          <w:rFonts w:eastAsia="標楷體" w:hint="eastAsia"/>
          <w:color w:val="000000"/>
        </w:rPr>
        <w:t>核苷</w:t>
      </w:r>
      <w:r w:rsidR="00541433" w:rsidRPr="00541433">
        <w:rPr>
          <w:rFonts w:eastAsia="標楷體"/>
          <w:color w:val="000000"/>
        </w:rPr>
        <w:t>(</w:t>
      </w:r>
      <w:r w:rsidR="00541433" w:rsidRPr="00541433">
        <w:rPr>
          <w:rFonts w:eastAsia="標楷體" w:hint="eastAsia"/>
          <w:color w:val="000000"/>
        </w:rPr>
        <w:t>酸</w:t>
      </w:r>
      <w:r w:rsidR="00541433" w:rsidRPr="00541433">
        <w:rPr>
          <w:rFonts w:eastAsia="標楷體"/>
          <w:color w:val="000000"/>
        </w:rPr>
        <w:t>)</w:t>
      </w:r>
      <w:r w:rsidR="00541433" w:rsidRPr="00541433">
        <w:rPr>
          <w:rFonts w:eastAsia="標楷體" w:hint="eastAsia"/>
          <w:color w:val="000000"/>
        </w:rPr>
        <w:t>類似物</w:t>
      </w:r>
      <w:r w:rsidRPr="0086749D">
        <w:rPr>
          <w:rFonts w:eastAsia="標楷體" w:hint="eastAsia"/>
          <w:color w:val="000000"/>
        </w:rPr>
        <w:t>停藥期間的</w:t>
      </w:r>
      <w:r w:rsidRPr="0086749D">
        <w:rPr>
          <w:rFonts w:eastAsia="標楷體"/>
          <w:color w:val="000000"/>
        </w:rPr>
        <w:t>HBsAg</w:t>
      </w:r>
      <w:r w:rsidRPr="0086749D">
        <w:rPr>
          <w:rFonts w:eastAsia="標楷體" w:hint="eastAsia"/>
          <w:color w:val="000000"/>
        </w:rPr>
        <w:t>血清清除</w:t>
      </w:r>
      <w:r w:rsidR="00541433">
        <w:rPr>
          <w:rFonts w:eastAsia="標楷體" w:hint="eastAsia"/>
          <w:color w:val="000000"/>
        </w:rPr>
        <w:t>發生率</w:t>
      </w:r>
      <w:r w:rsidRPr="0086749D">
        <w:rPr>
          <w:rFonts w:eastAsia="標楷體" w:hint="eastAsia"/>
          <w:color w:val="000000"/>
        </w:rPr>
        <w:t>。我們</w:t>
      </w:r>
      <w:r w:rsidR="00541433">
        <w:rPr>
          <w:rFonts w:eastAsia="標楷體" w:hint="eastAsia"/>
          <w:color w:val="000000"/>
        </w:rPr>
        <w:t>將</w:t>
      </w:r>
      <w:r w:rsidRPr="0086749D">
        <w:rPr>
          <w:rFonts w:eastAsia="標楷體" w:hint="eastAsia"/>
          <w:color w:val="000000"/>
        </w:rPr>
        <w:t>使用競爭風險分析估計</w:t>
      </w:r>
      <w:r w:rsidRPr="0086749D">
        <w:rPr>
          <w:rFonts w:eastAsia="標楷體"/>
          <w:color w:val="000000"/>
        </w:rPr>
        <w:t>HBsAg</w:t>
      </w:r>
      <w:r w:rsidRPr="0086749D">
        <w:rPr>
          <w:rFonts w:eastAsia="標楷體" w:hint="eastAsia"/>
          <w:color w:val="000000"/>
        </w:rPr>
        <w:t>血清清除的發生率，並考慮死亡或再次治療</w:t>
      </w:r>
      <w:r w:rsidR="00541433">
        <w:rPr>
          <w:rFonts w:eastAsia="標楷體" w:hint="eastAsia"/>
          <w:color w:val="000000"/>
        </w:rPr>
        <w:t>作為非隨機的資料設限，對結果估計的影響</w:t>
      </w:r>
      <w:r w:rsidR="005B64F3">
        <w:rPr>
          <w:rFonts w:eastAsia="標楷體" w:hint="eastAsia"/>
          <w:color w:val="000000"/>
        </w:rPr>
        <w:t>，並且</w:t>
      </w:r>
      <w:r w:rsidRPr="0086749D">
        <w:rPr>
          <w:rFonts w:eastAsia="標楷體" w:hint="eastAsia"/>
          <w:color w:val="000000"/>
        </w:rPr>
        <w:t>在多變</w:t>
      </w:r>
      <w:r w:rsidR="00541433">
        <w:rPr>
          <w:rFonts w:eastAsia="標楷體" w:hint="eastAsia"/>
          <w:color w:val="000000"/>
        </w:rPr>
        <w:t>項</w:t>
      </w:r>
      <w:r w:rsidRPr="0086749D">
        <w:rPr>
          <w:rFonts w:eastAsia="標楷體" w:hint="eastAsia"/>
          <w:color w:val="000000"/>
        </w:rPr>
        <w:t>調整的</w:t>
      </w:r>
      <w:r w:rsidR="00541433">
        <w:rPr>
          <w:rFonts w:eastAsia="標楷體" w:hint="eastAsia"/>
          <w:color w:val="000000"/>
        </w:rPr>
        <w:t>次</w:t>
      </w:r>
      <w:r w:rsidRPr="0086749D">
        <w:rPr>
          <w:rFonts w:eastAsia="標楷體" w:hint="eastAsia"/>
          <w:color w:val="000000"/>
        </w:rPr>
        <w:t>分佈風險回歸</w:t>
      </w:r>
      <w:r w:rsidR="00541433">
        <w:rPr>
          <w:rFonts w:eastAsia="標楷體" w:hint="eastAsia"/>
          <w:color w:val="000000"/>
        </w:rPr>
        <w:t>(s</w:t>
      </w:r>
      <w:r w:rsidR="00541433">
        <w:rPr>
          <w:rFonts w:eastAsia="標楷體"/>
          <w:color w:val="000000"/>
        </w:rPr>
        <w:t>ub-distribution hazard)</w:t>
      </w:r>
      <w:r w:rsidRPr="0086749D">
        <w:rPr>
          <w:rFonts w:eastAsia="標楷體" w:hint="eastAsia"/>
          <w:color w:val="000000"/>
        </w:rPr>
        <w:t>模型中，</w:t>
      </w:r>
      <w:r w:rsidR="005B64F3">
        <w:rPr>
          <w:rFonts w:eastAsia="標楷體" w:hint="eastAsia"/>
          <w:color w:val="000000"/>
        </w:rPr>
        <w:t>將急性</w:t>
      </w:r>
      <w:r w:rsidRPr="0086749D">
        <w:rPr>
          <w:rFonts w:eastAsia="標楷體" w:hint="eastAsia"/>
          <w:color w:val="000000"/>
        </w:rPr>
        <w:t>ALT</w:t>
      </w:r>
      <w:r w:rsidRPr="0086749D">
        <w:rPr>
          <w:rFonts w:eastAsia="標楷體" w:hint="eastAsia"/>
          <w:color w:val="000000"/>
        </w:rPr>
        <w:t>發</w:t>
      </w:r>
      <w:r w:rsidR="005B64F3">
        <w:rPr>
          <w:rFonts w:eastAsia="標楷體" w:hint="eastAsia"/>
          <w:color w:val="000000"/>
        </w:rPr>
        <w:t>作作為一個隨</w:t>
      </w:r>
      <w:r w:rsidRPr="0086749D">
        <w:rPr>
          <w:rFonts w:eastAsia="標楷體" w:hint="eastAsia"/>
          <w:color w:val="000000"/>
        </w:rPr>
        <w:t>時間</w:t>
      </w:r>
      <w:r w:rsidR="005B64F3">
        <w:rPr>
          <w:rFonts w:eastAsia="標楷體" w:hint="eastAsia"/>
          <w:color w:val="000000"/>
        </w:rPr>
        <w:t>而變動</w:t>
      </w:r>
      <w:r w:rsidRPr="0086749D">
        <w:rPr>
          <w:rFonts w:eastAsia="標楷體" w:hint="eastAsia"/>
          <w:color w:val="000000"/>
        </w:rPr>
        <w:t>的變</w:t>
      </w:r>
      <w:r w:rsidR="005B64F3">
        <w:rPr>
          <w:rFonts w:eastAsia="標楷體" w:hint="eastAsia"/>
          <w:color w:val="000000"/>
        </w:rPr>
        <w:t>數</w:t>
      </w:r>
      <w:r w:rsidRPr="0086749D">
        <w:rPr>
          <w:rFonts w:eastAsia="標楷體" w:hint="eastAsia"/>
          <w:color w:val="000000"/>
        </w:rPr>
        <w:t>。</w:t>
      </w:r>
      <w:r w:rsidR="006066FB" w:rsidRPr="00C1486D">
        <w:rPr>
          <w:rFonts w:eastAsia="標楷體"/>
          <w:color w:val="000000"/>
        </w:rPr>
        <w:t xml:space="preserve"> </w:t>
      </w:r>
    </w:p>
    <w:p w14:paraId="11DA918B" w14:textId="77777777" w:rsidR="00261B60" w:rsidRPr="00C1486D" w:rsidRDefault="00261B60" w:rsidP="00261B60">
      <w:pPr>
        <w:rPr>
          <w:rFonts w:eastAsia="標楷體"/>
          <w:color w:val="000000"/>
        </w:rPr>
      </w:pPr>
    </w:p>
    <w:p w14:paraId="090E2F6E" w14:textId="5F3B4A14" w:rsidR="00387823" w:rsidRPr="00C1486D" w:rsidRDefault="00B07BAC" w:rsidP="00106D38">
      <w:pPr>
        <w:rPr>
          <w:rFonts w:eastAsia="標楷體"/>
          <w:bCs/>
          <w:noProof/>
        </w:rPr>
        <w:sectPr w:rsidR="00387823" w:rsidRPr="00C1486D">
          <w:pgSz w:w="11906" w:h="16838"/>
          <w:pgMar w:top="1440" w:right="1800" w:bottom="1440" w:left="1800" w:header="851" w:footer="992" w:gutter="0"/>
          <w:cols w:space="425"/>
          <w:docGrid w:type="lines" w:linePitch="360"/>
        </w:sectPr>
      </w:pPr>
      <w:r w:rsidRPr="00C1486D">
        <w:rPr>
          <w:rFonts w:eastAsia="標楷體"/>
          <w:b/>
          <w:bCs/>
          <w:noProof/>
        </w:rPr>
        <w:t>關鍵詞</w:t>
      </w:r>
      <w:r w:rsidRPr="00C1486D">
        <w:rPr>
          <w:rFonts w:eastAsia="標楷體"/>
          <w:b/>
          <w:bCs/>
          <w:noProof/>
        </w:rPr>
        <w:t>:</w:t>
      </w:r>
      <w:r w:rsidR="008E62B2" w:rsidRPr="00C1486D">
        <w:rPr>
          <w:rFonts w:eastAsia="標楷體"/>
          <w:bCs/>
          <w:noProof/>
        </w:rPr>
        <w:t>慢性</w:t>
      </w:r>
      <w:r w:rsidR="006F3A64" w:rsidRPr="00C1486D">
        <w:rPr>
          <w:rFonts w:eastAsia="標楷體"/>
          <w:bCs/>
          <w:noProof/>
        </w:rPr>
        <w:t>B</w:t>
      </w:r>
      <w:r w:rsidR="001B6C88" w:rsidRPr="00C1486D">
        <w:rPr>
          <w:rFonts w:eastAsia="標楷體"/>
          <w:bCs/>
          <w:noProof/>
        </w:rPr>
        <w:t>性</w:t>
      </w:r>
      <w:r w:rsidR="00782894" w:rsidRPr="00C1486D">
        <w:rPr>
          <w:rFonts w:eastAsia="標楷體"/>
          <w:bCs/>
          <w:noProof/>
        </w:rPr>
        <w:t>肝炎</w:t>
      </w:r>
      <w:r w:rsidR="00C1486D">
        <w:rPr>
          <w:rFonts w:eastAsia="標楷體" w:hint="eastAsia"/>
          <w:bCs/>
          <w:noProof/>
        </w:rPr>
        <w:t>；</w:t>
      </w:r>
      <w:r w:rsidR="0086749D" w:rsidRPr="0086749D">
        <w:rPr>
          <w:rFonts w:eastAsia="標楷體" w:hint="eastAsia"/>
          <w:bCs/>
          <w:noProof/>
        </w:rPr>
        <w:t>核苷</w:t>
      </w:r>
      <w:r w:rsidR="0086749D" w:rsidRPr="0086749D">
        <w:rPr>
          <w:rFonts w:eastAsia="標楷體"/>
          <w:bCs/>
          <w:noProof/>
        </w:rPr>
        <w:t>(</w:t>
      </w:r>
      <w:r w:rsidR="0086749D" w:rsidRPr="0086749D">
        <w:rPr>
          <w:rFonts w:eastAsia="標楷體" w:hint="eastAsia"/>
          <w:bCs/>
          <w:noProof/>
        </w:rPr>
        <w:t>酸</w:t>
      </w:r>
      <w:r w:rsidR="0086749D" w:rsidRPr="0086749D">
        <w:rPr>
          <w:rFonts w:eastAsia="標楷體"/>
          <w:bCs/>
          <w:noProof/>
        </w:rPr>
        <w:t>)</w:t>
      </w:r>
      <w:r w:rsidR="0086749D" w:rsidRPr="0086749D">
        <w:rPr>
          <w:rFonts w:eastAsia="標楷體" w:hint="eastAsia"/>
          <w:bCs/>
          <w:noProof/>
        </w:rPr>
        <w:t>類似物</w:t>
      </w:r>
      <w:r w:rsidR="006F3A64" w:rsidRPr="00C1486D">
        <w:rPr>
          <w:rFonts w:eastAsia="標楷體"/>
          <w:bCs/>
          <w:noProof/>
        </w:rPr>
        <w:t>抗病毒治療</w:t>
      </w:r>
      <w:r w:rsidR="00106D38" w:rsidRPr="00C1486D">
        <w:rPr>
          <w:rFonts w:eastAsia="標楷體"/>
          <w:bCs/>
          <w:noProof/>
        </w:rPr>
        <w:t>；</w:t>
      </w:r>
      <w:r w:rsidR="0086749D">
        <w:rPr>
          <w:rFonts w:eastAsia="標楷體" w:hint="eastAsia"/>
          <w:bCs/>
          <w:noProof/>
        </w:rPr>
        <w:t>有限療程</w:t>
      </w:r>
      <w:r w:rsidR="005B64F3">
        <w:rPr>
          <w:rFonts w:eastAsia="標楷體" w:hint="eastAsia"/>
          <w:bCs/>
          <w:noProof/>
        </w:rPr>
        <w:t>；</w:t>
      </w:r>
      <w:r w:rsidR="005B64F3">
        <w:rPr>
          <w:rFonts w:eastAsia="標楷體" w:hint="eastAsia"/>
          <w:bCs/>
          <w:noProof/>
        </w:rPr>
        <w:t>B</w:t>
      </w:r>
      <w:r w:rsidR="005B64F3">
        <w:rPr>
          <w:rFonts w:eastAsia="標楷體" w:hint="eastAsia"/>
          <w:bCs/>
          <w:noProof/>
        </w:rPr>
        <w:t>型肝炎血清表面抗原清除</w:t>
      </w:r>
    </w:p>
    <w:p w14:paraId="003E4FB4" w14:textId="77777777" w:rsidR="00F552D7" w:rsidRPr="00C1486D" w:rsidRDefault="00F552D7" w:rsidP="00D1172B">
      <w:pPr>
        <w:widowControl/>
        <w:tabs>
          <w:tab w:val="left" w:pos="-28"/>
        </w:tabs>
        <w:kinsoku w:val="0"/>
        <w:spacing w:line="360" w:lineRule="auto"/>
        <w:jc w:val="both"/>
        <w:textAlignment w:val="bottom"/>
        <w:rPr>
          <w:rFonts w:eastAsia="標楷體"/>
          <w:b/>
          <w:color w:val="000000"/>
        </w:rPr>
      </w:pPr>
      <w:r w:rsidRPr="00C1486D">
        <w:rPr>
          <w:rFonts w:eastAsia="標楷體"/>
          <w:b/>
          <w:color w:val="000000"/>
        </w:rPr>
        <w:lastRenderedPageBreak/>
        <w:t>研究計畫目的及背景說明</w:t>
      </w:r>
    </w:p>
    <w:p w14:paraId="1DC03FC7" w14:textId="249538E1" w:rsidR="006066FB" w:rsidRDefault="005B64F3" w:rsidP="006066FB">
      <w:pPr>
        <w:spacing w:line="360" w:lineRule="auto"/>
        <w:jc w:val="both"/>
        <w:rPr>
          <w:color w:val="000000"/>
          <w:szCs w:val="28"/>
        </w:rPr>
      </w:pPr>
      <w:r w:rsidRPr="005B64F3">
        <w:rPr>
          <w:color w:val="000000"/>
          <w:szCs w:val="28"/>
        </w:rPr>
        <w:t xml:space="preserve">Chronic hepatitis B virus (HBV) infection remains a primary contributor to liver-related </w:t>
      </w:r>
      <w:r>
        <w:rPr>
          <w:color w:val="000000"/>
          <w:szCs w:val="28"/>
        </w:rPr>
        <w:t xml:space="preserve">morbidity </w:t>
      </w:r>
      <w:r w:rsidRPr="005B64F3">
        <w:rPr>
          <w:color w:val="000000"/>
          <w:szCs w:val="28"/>
        </w:rPr>
        <w:t>and</w:t>
      </w:r>
      <w:r>
        <w:rPr>
          <w:color w:val="000000"/>
          <w:szCs w:val="28"/>
        </w:rPr>
        <w:t xml:space="preserve"> mortality</w:t>
      </w:r>
      <w:r w:rsidRPr="005B64F3">
        <w:rPr>
          <w:color w:val="000000"/>
          <w:szCs w:val="28"/>
        </w:rPr>
        <w:t xml:space="preserve"> globally, especially in Asian regions</w:t>
      </w:r>
      <w:r>
        <w:rPr>
          <w:color w:val="000000"/>
          <w:szCs w:val="28"/>
        </w:rPr>
        <w:t xml:space="preserve"> including Taiwan</w:t>
      </w:r>
      <w:r w:rsidRPr="005B64F3">
        <w:rPr>
          <w:color w:val="000000"/>
          <w:szCs w:val="28"/>
        </w:rPr>
        <w:t>. The care of individuals with chronic hepatitis B (CHB) has evolved to include antiviral treatments, primarily interferon alpha and nucleos(t)ide analogs (NAs). By effectively suppressing viral replication, NAs not only decrease viremia and mitigate liver inflammation but also hold potential in halting or even reversing liver scarring. Numerous studies validate the efficacy of NAs in enhancing patient outcomes. Yet, maintaining the therapeutic benefits often proves challenging</w:t>
      </w:r>
      <w:r>
        <w:rPr>
          <w:color w:val="000000"/>
          <w:szCs w:val="28"/>
        </w:rPr>
        <w:t xml:space="preserve"> after discontinuation of NA therapy</w:t>
      </w:r>
      <w:r w:rsidRPr="005B64F3">
        <w:rPr>
          <w:color w:val="000000"/>
          <w:szCs w:val="28"/>
        </w:rPr>
        <w:t>.</w:t>
      </w:r>
    </w:p>
    <w:p w14:paraId="25B93C41" w14:textId="198EFE58" w:rsidR="006066FB" w:rsidRPr="006066FB" w:rsidRDefault="006066FB" w:rsidP="006066FB">
      <w:pPr>
        <w:spacing w:line="360" w:lineRule="auto"/>
        <w:jc w:val="both"/>
        <w:rPr>
          <w:color w:val="000000"/>
          <w:szCs w:val="28"/>
        </w:rPr>
      </w:pPr>
      <w:r w:rsidRPr="006066FB">
        <w:rPr>
          <w:color w:val="000000"/>
          <w:szCs w:val="28"/>
        </w:rPr>
        <w:t xml:space="preserve"> </w:t>
      </w:r>
    </w:p>
    <w:p w14:paraId="4E49554A" w14:textId="56C62580" w:rsidR="006066FB" w:rsidRDefault="006066FB" w:rsidP="006066FB">
      <w:pPr>
        <w:spacing w:line="360" w:lineRule="auto"/>
        <w:jc w:val="both"/>
        <w:rPr>
          <w:color w:val="000000"/>
          <w:szCs w:val="28"/>
        </w:rPr>
      </w:pPr>
      <w:r w:rsidRPr="006066FB">
        <w:rPr>
          <w:color w:val="000000"/>
          <w:szCs w:val="28"/>
        </w:rPr>
        <w:t>Because of high off-therapy relapse rates, major international guidelines currently recommend an indefinite prolongation of NA therapy, possibly until loss of hepatitis B surface antigen (HBsAg) with or without appearance of accompanying antibodies. However, this strategy entails life-long treatment for most treated patients</w:t>
      </w:r>
      <w:r w:rsidR="005B64F3">
        <w:rPr>
          <w:color w:val="000000"/>
          <w:szCs w:val="28"/>
        </w:rPr>
        <w:t>.</w:t>
      </w:r>
      <w:r w:rsidRPr="006066FB">
        <w:rPr>
          <w:color w:val="000000"/>
          <w:szCs w:val="28"/>
        </w:rPr>
        <w:t xml:space="preserve"> Recently, intense research has been carried out to clarify predictors of off-therapy relapse and identify patients who </w:t>
      </w:r>
      <w:r w:rsidR="005B64F3">
        <w:rPr>
          <w:color w:val="000000"/>
          <w:szCs w:val="28"/>
        </w:rPr>
        <w:t xml:space="preserve">can </w:t>
      </w:r>
      <w:r w:rsidRPr="006066FB">
        <w:rPr>
          <w:color w:val="000000"/>
          <w:szCs w:val="28"/>
        </w:rPr>
        <w:t>maintain remission without resuming medication</w:t>
      </w:r>
      <w:r w:rsidR="005B64F3">
        <w:rPr>
          <w:color w:val="000000"/>
          <w:szCs w:val="28"/>
        </w:rPr>
        <w:t xml:space="preserve">. One of the unresolved issues </w:t>
      </w:r>
      <w:r w:rsidR="00DE5323">
        <w:rPr>
          <w:color w:val="000000"/>
          <w:szCs w:val="28"/>
        </w:rPr>
        <w:t xml:space="preserve">is whether acute hepatitis flares off NA therapy is associated with a higher chance of HBsAg seroclearance. </w:t>
      </w:r>
      <w:r w:rsidR="00DE5323">
        <w:rPr>
          <w:rFonts w:hint="eastAsia"/>
          <w:color w:val="000000"/>
          <w:szCs w:val="28"/>
        </w:rPr>
        <w:t>In</w:t>
      </w:r>
      <w:r w:rsidR="00DE5323">
        <w:rPr>
          <w:color w:val="000000"/>
          <w:szCs w:val="28"/>
        </w:rPr>
        <w:t xml:space="preserve"> an observational study, p</w:t>
      </w:r>
      <w:r w:rsidR="00DE5323" w:rsidRPr="00DE5323">
        <w:rPr>
          <w:color w:val="000000"/>
          <w:szCs w:val="28"/>
        </w:rPr>
        <w:t>atients who experienced clinical relapse and remained untreated demonstrated a notably higher incidence of HBsAg seroclearance compared to clinical relapsers who underwent retreatment</w:t>
      </w:r>
      <w:r w:rsidR="00DE5323">
        <w:rPr>
          <w:color w:val="000000"/>
          <w:szCs w:val="28"/>
        </w:rPr>
        <w:t xml:space="preserve">. However, </w:t>
      </w:r>
    </w:p>
    <w:p w14:paraId="145384CD" w14:textId="77777777" w:rsidR="006066FB" w:rsidRPr="006066FB" w:rsidRDefault="006066FB" w:rsidP="006066FB">
      <w:pPr>
        <w:spacing w:line="360" w:lineRule="auto"/>
        <w:jc w:val="both"/>
        <w:rPr>
          <w:color w:val="000000"/>
          <w:szCs w:val="28"/>
        </w:rPr>
      </w:pPr>
    </w:p>
    <w:p w14:paraId="2B704403" w14:textId="4036AA6C" w:rsidR="00F85CE4" w:rsidRPr="00C1486D" w:rsidRDefault="006066FB" w:rsidP="006066FB">
      <w:pPr>
        <w:spacing w:line="360" w:lineRule="auto"/>
        <w:jc w:val="both"/>
        <w:rPr>
          <w:rFonts w:eastAsia="標楷體"/>
          <w:kern w:val="0"/>
        </w:rPr>
      </w:pPr>
      <w:r w:rsidRPr="006066FB">
        <w:rPr>
          <w:color w:val="000000"/>
          <w:szCs w:val="28"/>
        </w:rPr>
        <w:t>In</w:t>
      </w:r>
      <w:r w:rsidR="00DE5323">
        <w:rPr>
          <w:color w:val="000000"/>
          <w:szCs w:val="28"/>
        </w:rPr>
        <w:t xml:space="preserve"> this study, we aim to clarify </w:t>
      </w:r>
      <w:r w:rsidR="00DE5323" w:rsidRPr="00DE5323">
        <w:rPr>
          <w:color w:val="000000"/>
          <w:szCs w:val="28"/>
        </w:rPr>
        <w:t>whether acute hepatitis flares in patients with chronic hepatitis B, after discontinuation of nucleos(t)ide analog therapy, affect the incidence rate of hepatitis B surface antigen seroclearance.</w:t>
      </w:r>
    </w:p>
    <w:p w14:paraId="05C4DCB4" w14:textId="77777777" w:rsidR="005A06D3" w:rsidRDefault="005A06D3" w:rsidP="005A06D3">
      <w:pPr>
        <w:spacing w:line="360" w:lineRule="auto"/>
        <w:jc w:val="both"/>
        <w:rPr>
          <w:rFonts w:eastAsia="標楷體"/>
          <w:b/>
          <w:color w:val="000000"/>
        </w:rPr>
      </w:pPr>
    </w:p>
    <w:p w14:paraId="652A58F1" w14:textId="77777777" w:rsidR="00183ACB" w:rsidRDefault="005A06D3" w:rsidP="00183ACB">
      <w:pPr>
        <w:spacing w:line="360" w:lineRule="auto"/>
        <w:jc w:val="both"/>
        <w:rPr>
          <w:rFonts w:eastAsia="標楷體"/>
          <w:kern w:val="0"/>
        </w:rPr>
      </w:pPr>
      <w:r>
        <w:rPr>
          <w:rFonts w:eastAsia="標楷體" w:hint="eastAsia"/>
          <w:b/>
          <w:color w:val="000000"/>
        </w:rPr>
        <w:t>M</w:t>
      </w:r>
      <w:r>
        <w:rPr>
          <w:rFonts w:eastAsia="標楷體"/>
          <w:b/>
          <w:color w:val="000000"/>
        </w:rPr>
        <w:t>ethods and Materials:</w:t>
      </w:r>
    </w:p>
    <w:p w14:paraId="7179C3AE" w14:textId="77777777" w:rsidR="00183ACB" w:rsidRDefault="005A06D3" w:rsidP="00183ACB">
      <w:pPr>
        <w:spacing w:line="360" w:lineRule="auto"/>
        <w:jc w:val="both"/>
        <w:rPr>
          <w:rFonts w:eastAsia="標楷體"/>
          <w:kern w:val="0"/>
        </w:rPr>
      </w:pPr>
      <w:r w:rsidRPr="005A06D3">
        <w:rPr>
          <w:b/>
          <w:bCs/>
          <w:i/>
          <w:iCs/>
        </w:rPr>
        <w:t>Design and setting</w:t>
      </w:r>
    </w:p>
    <w:p w14:paraId="172FEDF7" w14:textId="57FE248C" w:rsidR="00A81DC9" w:rsidRDefault="00A81DC9" w:rsidP="00A81DC9">
      <w:pPr>
        <w:spacing w:line="360" w:lineRule="auto"/>
        <w:jc w:val="both"/>
      </w:pPr>
      <w:r>
        <w:t xml:space="preserve">We </w:t>
      </w:r>
      <w:r>
        <w:t xml:space="preserve">will </w:t>
      </w:r>
      <w:r>
        <w:t xml:space="preserve">retrospectively screen the electronic healthcare records (EHRs) of all patients who received any NA regimen for CHB in the E-Da Hospital, E-Da Cancer Hospital, and E-Da </w:t>
      </w:r>
      <w:proofErr w:type="spellStart"/>
      <w:r>
        <w:t>Dachang</w:t>
      </w:r>
      <w:proofErr w:type="spellEnd"/>
      <w:r>
        <w:t xml:space="preserve"> Hospital (all in Kaohsiung, Taiwan). All patients were managed as appropriate according to the practice standard in Taiwan. Demographic data, laboratory results, diagnostic codes, pharmacy prescription claims, and vital statistics data were extracted from the EDA Healthcare System EHR database and complimented by manual chart review as needed.</w:t>
      </w:r>
    </w:p>
    <w:p w14:paraId="24C8DAA0" w14:textId="77777777" w:rsidR="00A81DC9" w:rsidRDefault="00A81DC9" w:rsidP="00A81DC9">
      <w:pPr>
        <w:spacing w:line="360" w:lineRule="auto"/>
        <w:jc w:val="both"/>
      </w:pPr>
    </w:p>
    <w:p w14:paraId="05FB257D" w14:textId="34A1DBA1" w:rsidR="00183ACB" w:rsidRDefault="00A81DC9" w:rsidP="00A81DC9">
      <w:pPr>
        <w:spacing w:line="360" w:lineRule="auto"/>
        <w:jc w:val="both"/>
        <w:rPr>
          <w:rFonts w:eastAsia="標楷體"/>
          <w:kern w:val="0"/>
        </w:rPr>
      </w:pPr>
      <w:r>
        <w:t xml:space="preserve">The study </w:t>
      </w:r>
      <w:r>
        <w:t>is</w:t>
      </w:r>
      <w:r>
        <w:t xml:space="preserve"> carried out in compliance with the Declaration of Helsinki and the protocol was approved by the institutional review board of the E-Da Healthcare System. </w:t>
      </w:r>
      <w:r w:rsidR="005A06D3">
        <w:t xml:space="preserve"> </w:t>
      </w:r>
    </w:p>
    <w:p w14:paraId="573DFB56" w14:textId="77777777" w:rsidR="00183ACB" w:rsidRDefault="00183ACB" w:rsidP="00183ACB">
      <w:pPr>
        <w:spacing w:line="360" w:lineRule="auto"/>
        <w:jc w:val="both"/>
        <w:rPr>
          <w:rFonts w:eastAsia="標楷體"/>
          <w:kern w:val="0"/>
        </w:rPr>
      </w:pPr>
    </w:p>
    <w:p w14:paraId="19CDDECD" w14:textId="3CD8371D" w:rsidR="00A81DC9" w:rsidRPr="00A81DC9" w:rsidRDefault="00A81DC9" w:rsidP="00A81DC9">
      <w:pPr>
        <w:spacing w:line="480" w:lineRule="auto"/>
        <w:jc w:val="both"/>
        <w:rPr>
          <w:rFonts w:hint="eastAsia"/>
          <w:b/>
          <w:i/>
        </w:rPr>
      </w:pPr>
      <w:r>
        <w:rPr>
          <w:b/>
          <w:i/>
        </w:rPr>
        <w:t>Study patient</w:t>
      </w:r>
      <w:r>
        <w:rPr>
          <w:b/>
          <w:i/>
        </w:rPr>
        <w:t>s</w:t>
      </w:r>
    </w:p>
    <w:p w14:paraId="58159108" w14:textId="0DB8A9C1" w:rsidR="00A81DC9" w:rsidRPr="00A81DC9" w:rsidRDefault="00A81DC9" w:rsidP="00A81DC9">
      <w:pPr>
        <w:spacing w:line="360" w:lineRule="auto"/>
        <w:jc w:val="both"/>
      </w:pPr>
      <w:r w:rsidRPr="00A81DC9">
        <w:t xml:space="preserve">Patients eligible for analysis </w:t>
      </w:r>
      <w:r>
        <w:t>are</w:t>
      </w:r>
      <w:r w:rsidRPr="00A81DC9">
        <w:t xml:space="preserve"> adults (aged 20 years or older) with CHB as defined by having a specific diagnosis code</w:t>
      </w:r>
      <w:r>
        <w:t xml:space="preserve"> </w:t>
      </w:r>
      <w:r w:rsidRPr="00A81DC9">
        <w:t xml:space="preserve">or positive HBsAg for at least 6 months, who were previously untreated and initiated on a NA regimen including lamivudine, adefovir, telbivudine, entecavir, or tenofovir for a minimum of one year prior to treatment cessation. Patients </w:t>
      </w:r>
      <w:r>
        <w:t>a</w:t>
      </w:r>
      <w:r w:rsidRPr="00A81DC9">
        <w:t xml:space="preserve">re excluded </w:t>
      </w:r>
      <w:r>
        <w:t>for</w:t>
      </w:r>
      <w:r w:rsidRPr="00A81DC9">
        <w:t xml:space="preserve"> any of the following criteria</w:t>
      </w:r>
      <w:r>
        <w:t>:</w:t>
      </w:r>
      <w:r w:rsidRPr="00A81DC9">
        <w:t xml:space="preserve"> seroclearance of HBsAg during the NA treatment, positive serology of HBeAg at treatment cessation, co-infection with hepatitis C virus (HCV), organ transplantation, malignant disease including hepatocellular carcinoma (HCC), or any severe comorbidity that was certified in the registry of catastrophic illness patient database. The study baseline was set at the day of treatment cessation, as confirmed by pharmacy records. </w:t>
      </w:r>
      <w:r>
        <w:t>The</w:t>
      </w:r>
      <w:r w:rsidRPr="00A81DC9">
        <w:t xml:space="preserve"> definition </w:t>
      </w:r>
      <w:r>
        <w:t xml:space="preserve">of </w:t>
      </w:r>
      <w:r w:rsidRPr="00A81DC9">
        <w:lastRenderedPageBreak/>
        <w:t>cirrhosis was based upon a clinical diagnosis, usually made according to clinical assessment including liver images mainly by sonograp</w:t>
      </w:r>
      <w:r w:rsidRPr="00A81DC9">
        <w:rPr>
          <w:rFonts w:hint="eastAsia"/>
        </w:rPr>
        <w:t xml:space="preserve">hy. Hepatic insufficiency was defined by laboratory measurements of serum bilirubin </w:t>
      </w:r>
      <w:r>
        <w:rPr>
          <w:rFonts w:hint="eastAsia"/>
        </w:rPr>
        <w:t>&gt;</w:t>
      </w:r>
      <w:r w:rsidRPr="00A81DC9">
        <w:rPr>
          <w:rFonts w:hint="eastAsia"/>
        </w:rPr>
        <w:t xml:space="preserve">2mg/dL or prolongation of prothrombin time </w:t>
      </w:r>
      <w:r>
        <w:rPr>
          <w:rFonts w:hint="eastAsia"/>
        </w:rPr>
        <w:t>&gt;</w:t>
      </w:r>
      <w:r w:rsidRPr="00A81DC9">
        <w:rPr>
          <w:rFonts w:hint="eastAsia"/>
        </w:rPr>
        <w:t xml:space="preserve">3 seconds because this operational definition indicated reimbursement for antiviral treatment according to the national health </w:t>
      </w:r>
      <w:r w:rsidRPr="00A81DC9">
        <w:t xml:space="preserve">insurance in Taiwan. </w:t>
      </w:r>
    </w:p>
    <w:p w14:paraId="4E69CFA0" w14:textId="77777777" w:rsidR="00A81DC9" w:rsidRPr="00A81DC9" w:rsidRDefault="00A81DC9" w:rsidP="00A81DC9">
      <w:pPr>
        <w:spacing w:line="360" w:lineRule="auto"/>
        <w:jc w:val="both"/>
        <w:rPr>
          <w:b/>
          <w:bCs/>
          <w:i/>
          <w:iCs/>
        </w:rPr>
      </w:pPr>
    </w:p>
    <w:p w14:paraId="4C4F004C" w14:textId="77777777" w:rsidR="00A81DC9" w:rsidRPr="00A81DC9" w:rsidRDefault="00A81DC9" w:rsidP="00A81DC9">
      <w:pPr>
        <w:spacing w:line="360" w:lineRule="auto"/>
        <w:jc w:val="both"/>
        <w:rPr>
          <w:b/>
          <w:bCs/>
          <w:i/>
          <w:iCs/>
        </w:rPr>
      </w:pPr>
      <w:r w:rsidRPr="00A81DC9">
        <w:rPr>
          <w:b/>
          <w:bCs/>
          <w:i/>
          <w:iCs/>
        </w:rPr>
        <w:t xml:space="preserve">Criteria for initiation and discontinuation of antiviral treatment </w:t>
      </w:r>
    </w:p>
    <w:p w14:paraId="0DCB2EEA" w14:textId="3A75215D" w:rsidR="00A81DC9" w:rsidRPr="00A81DC9" w:rsidRDefault="00A81DC9" w:rsidP="00A81DC9">
      <w:pPr>
        <w:spacing w:line="360" w:lineRule="auto"/>
        <w:jc w:val="both"/>
        <w:rPr>
          <w:rFonts w:hint="eastAsia"/>
        </w:rPr>
      </w:pPr>
      <w:r w:rsidRPr="00A81DC9">
        <w:t>Antiviral therapy for HBV infection is covered by the Taiwan national health insurance, which is universal and compulsory, since October 1, 2003,6 but is strictly regulated with criteria specifying indications and therapeutic durations. In brief, NA tre</w:t>
      </w:r>
      <w:r w:rsidRPr="00A81DC9">
        <w:rPr>
          <w:rFonts w:hint="eastAsia"/>
        </w:rPr>
        <w:t xml:space="preserve">atment was indicated in patients with manifestations of hepatic insufficiency (operationally defined as serum bilirubin rising </w:t>
      </w:r>
      <w:r>
        <w:t>&gt;</w:t>
      </w:r>
      <w:r w:rsidRPr="00A81DC9">
        <w:rPr>
          <w:rFonts w:hint="eastAsia"/>
        </w:rPr>
        <w:t xml:space="preserve">2mg/dL or prolongation of prothrombin time </w:t>
      </w:r>
      <w:r>
        <w:rPr>
          <w:rFonts w:hint="eastAsia"/>
        </w:rPr>
        <w:t>&gt;</w:t>
      </w:r>
      <w:r w:rsidRPr="00A81DC9">
        <w:rPr>
          <w:rFonts w:hint="eastAsia"/>
        </w:rPr>
        <w:t>3 seconds). Except for a special condition such as organ transplantation or malignancy that required antiviral prophylaxis, the indications were generally determined by high viral load (</w:t>
      </w:r>
      <w:r>
        <w:rPr>
          <w:rFonts w:hint="eastAsia"/>
        </w:rPr>
        <w:t>&gt;</w:t>
      </w:r>
      <w:r w:rsidRPr="00A81DC9">
        <w:rPr>
          <w:rFonts w:hint="eastAsia"/>
        </w:rPr>
        <w:t xml:space="preserve">2,000 IU/mL) and persistent ALT elevation (&gt;2 folds the upper limits of normal [ULN] for at least 3 months), with the details separated by HBeAg status. For the indication of cirrhosis, a prerequisite of HBV DNA </w:t>
      </w:r>
      <w:r>
        <w:rPr>
          <w:rFonts w:hint="eastAsia"/>
        </w:rPr>
        <w:t>&gt;</w:t>
      </w:r>
      <w:r w:rsidRPr="00A81DC9">
        <w:rPr>
          <w:rFonts w:hint="eastAsia"/>
        </w:rPr>
        <w:t>2,000 IU/mL was required during the study period.</w:t>
      </w:r>
    </w:p>
    <w:p w14:paraId="46D38F8A" w14:textId="77777777" w:rsidR="00A81DC9" w:rsidRPr="00A81DC9" w:rsidRDefault="00A81DC9" w:rsidP="00A81DC9">
      <w:pPr>
        <w:spacing w:line="360" w:lineRule="auto"/>
        <w:jc w:val="both"/>
      </w:pPr>
    </w:p>
    <w:p w14:paraId="3D367461" w14:textId="09ACA1BA" w:rsidR="00A81DC9" w:rsidRPr="00A81DC9" w:rsidRDefault="00A81DC9" w:rsidP="00A81DC9">
      <w:pPr>
        <w:spacing w:line="360" w:lineRule="auto"/>
        <w:jc w:val="both"/>
      </w:pPr>
      <w:r w:rsidRPr="00A81DC9">
        <w:t>The reimbursement of antiviral therapy is finite in principle and generally 3 years at most, with particular maximum duration of coverage specified. After July 1, 2010, indefinite coverage was granted for the indication of cirrhosis but required evidence o</w:t>
      </w:r>
      <w:r w:rsidRPr="00A81DC9">
        <w:rPr>
          <w:rFonts w:hint="eastAsia"/>
        </w:rPr>
        <w:t>f portal hypertension (i.e., splenomegaly or esophagogastric varices) in addition to imaging characteristics of cirrhosis if pathological proof is absent. Moreover, HBV DNA</w:t>
      </w:r>
      <w:r>
        <w:rPr>
          <w:rFonts w:hint="eastAsia"/>
        </w:rPr>
        <w:t xml:space="preserve"> </w:t>
      </w:r>
      <w:r>
        <w:t>&gt;</w:t>
      </w:r>
      <w:r w:rsidRPr="00A81DC9">
        <w:rPr>
          <w:rFonts w:hint="eastAsia"/>
        </w:rPr>
        <w:t xml:space="preserve">2,000 IU/mL is a prerequisite. Thus, throughout the study period, patients with </w:t>
      </w:r>
      <w:r w:rsidRPr="00A81DC9">
        <w:rPr>
          <w:rFonts w:hint="eastAsia"/>
        </w:rPr>
        <w:lastRenderedPageBreak/>
        <w:t>a c</w:t>
      </w:r>
      <w:r w:rsidRPr="00A81DC9">
        <w:t xml:space="preserve">linical diagnosis of cirrhosis but without viremia of at least 2,000 IU/mL or without overt features of portal hypertension were ineligible for indefinite treatment.  </w:t>
      </w:r>
    </w:p>
    <w:p w14:paraId="6D1B7F82" w14:textId="77777777" w:rsidR="00A81DC9" w:rsidRPr="00A81DC9" w:rsidRDefault="00A81DC9" w:rsidP="00A81DC9">
      <w:pPr>
        <w:spacing w:line="360" w:lineRule="auto"/>
        <w:jc w:val="both"/>
      </w:pPr>
    </w:p>
    <w:p w14:paraId="52F78900" w14:textId="77777777" w:rsidR="00A81DC9" w:rsidRPr="00A81DC9" w:rsidRDefault="00A81DC9" w:rsidP="00A81DC9">
      <w:pPr>
        <w:spacing w:line="360" w:lineRule="auto"/>
        <w:jc w:val="both"/>
        <w:rPr>
          <w:b/>
          <w:bCs/>
          <w:i/>
          <w:iCs/>
        </w:rPr>
      </w:pPr>
      <w:r w:rsidRPr="00A81DC9">
        <w:rPr>
          <w:b/>
          <w:bCs/>
          <w:i/>
          <w:iCs/>
        </w:rPr>
        <w:t xml:space="preserve">Criteria for retreatment, off-therapy observation, and outcome measurement  </w:t>
      </w:r>
    </w:p>
    <w:p w14:paraId="7D4F98B1" w14:textId="270A107A" w:rsidR="00A81DC9" w:rsidRPr="00A81DC9" w:rsidRDefault="00A81DC9" w:rsidP="00A81DC9">
      <w:pPr>
        <w:spacing w:line="360" w:lineRule="auto"/>
        <w:jc w:val="both"/>
        <w:rPr>
          <w:rFonts w:hint="eastAsia"/>
        </w:rPr>
      </w:pPr>
      <w:r w:rsidRPr="00A81DC9">
        <w:rPr>
          <w:rFonts w:hint="eastAsia"/>
        </w:rPr>
        <w:t xml:space="preserve">The criteria for antiviral retreatment were also tightly regulated by the healthcare system. Reimbursement for retreatment was indicated for occurrence of hyperbilirubinemia (serum bilirubin </w:t>
      </w:r>
      <w:r>
        <w:rPr>
          <w:rFonts w:hint="eastAsia"/>
        </w:rPr>
        <w:t>&gt;</w:t>
      </w:r>
      <w:r>
        <w:t xml:space="preserve"> </w:t>
      </w:r>
      <w:r w:rsidRPr="00A81DC9">
        <w:rPr>
          <w:rFonts w:hint="eastAsia"/>
        </w:rPr>
        <w:t xml:space="preserve">2mg/dL), coagulopathy (prolonged prothrombin time </w:t>
      </w:r>
      <w:r>
        <w:rPr>
          <w:rFonts w:hint="eastAsia"/>
        </w:rPr>
        <w:t>&gt;</w:t>
      </w:r>
      <w:r>
        <w:t xml:space="preserve"> </w:t>
      </w:r>
      <w:r w:rsidRPr="00A81DC9">
        <w:rPr>
          <w:rFonts w:hint="eastAsia"/>
        </w:rPr>
        <w:t xml:space="preserve">3 seconds), or persistent hepatitis flares (ALT &gt;2 x ULN for </w:t>
      </w:r>
      <w:r>
        <w:rPr>
          <w:rFonts w:hint="eastAsia"/>
        </w:rPr>
        <w:t>&gt;</w:t>
      </w:r>
      <w:r>
        <w:t xml:space="preserve"> </w:t>
      </w:r>
      <w:r w:rsidRPr="00A81DC9">
        <w:rPr>
          <w:rFonts w:hint="eastAsia"/>
        </w:rPr>
        <w:t>3 months). Retreatment was not indicated for virological relapse alone or transient (&lt;3 months) ALT elevation, regardless of the level of serum HBV DNA or ALT.</w:t>
      </w:r>
    </w:p>
    <w:p w14:paraId="71A1BA61" w14:textId="77777777" w:rsidR="00A81DC9" w:rsidRPr="00A81DC9" w:rsidRDefault="00A81DC9" w:rsidP="00A81DC9">
      <w:pPr>
        <w:spacing w:line="360" w:lineRule="auto"/>
        <w:jc w:val="both"/>
      </w:pPr>
    </w:p>
    <w:p w14:paraId="647813A5" w14:textId="77777777" w:rsidR="00A81DC9" w:rsidRPr="00A81DC9" w:rsidRDefault="00A81DC9" w:rsidP="00A81DC9">
      <w:pPr>
        <w:spacing w:line="360" w:lineRule="auto"/>
        <w:jc w:val="both"/>
        <w:rPr>
          <w:b/>
          <w:bCs/>
          <w:i/>
          <w:iCs/>
        </w:rPr>
      </w:pPr>
      <w:r w:rsidRPr="00A81DC9">
        <w:rPr>
          <w:b/>
          <w:bCs/>
          <w:i/>
          <w:iCs/>
        </w:rPr>
        <w:t>Study outcomes</w:t>
      </w:r>
    </w:p>
    <w:p w14:paraId="6D969D3F" w14:textId="00D2A6BE" w:rsidR="00A81DC9" w:rsidRPr="00A81DC9" w:rsidRDefault="00A81DC9" w:rsidP="00A81DC9">
      <w:pPr>
        <w:spacing w:line="360" w:lineRule="auto"/>
        <w:jc w:val="both"/>
      </w:pPr>
      <w:r w:rsidRPr="00A81DC9">
        <w:t xml:space="preserve">The primary outcome </w:t>
      </w:r>
      <w:r>
        <w:t>i</w:t>
      </w:r>
      <w:r w:rsidRPr="00A81DC9">
        <w:t xml:space="preserve">s </w:t>
      </w:r>
      <w:r>
        <w:t>seroclearance</w:t>
      </w:r>
      <w:r w:rsidRPr="00A81DC9">
        <w:t xml:space="preserve"> of </w:t>
      </w:r>
      <w:r>
        <w:t>HBsAg</w:t>
      </w:r>
      <w:r w:rsidRPr="00A81DC9">
        <w:t xml:space="preserve"> that occurred during the off-therapy period</w:t>
      </w:r>
      <w:r>
        <w:t>.</w:t>
      </w:r>
      <w:r w:rsidRPr="00A81DC9">
        <w:t xml:space="preserve"> HBV reactivation </w:t>
      </w:r>
      <w:r>
        <w:t>is</w:t>
      </w:r>
      <w:r w:rsidRPr="00A81DC9">
        <w:t xml:space="preserve"> defined with reoccurrence of HBV DN</w:t>
      </w:r>
      <w:r w:rsidRPr="00A81DC9">
        <w:rPr>
          <w:rFonts w:hint="eastAsia"/>
        </w:rPr>
        <w:t xml:space="preserve">A </w:t>
      </w:r>
      <w:r>
        <w:rPr>
          <w:rFonts w:hint="eastAsia"/>
        </w:rPr>
        <w:t>&gt;</w:t>
      </w:r>
      <w:r w:rsidRPr="00A81DC9">
        <w:rPr>
          <w:rFonts w:hint="eastAsia"/>
        </w:rPr>
        <w:t>2000 IU/</w:t>
      </w:r>
      <w:proofErr w:type="spellStart"/>
      <w:r w:rsidRPr="00A81DC9">
        <w:rPr>
          <w:rFonts w:hint="eastAsia"/>
        </w:rPr>
        <w:t>mL.</w:t>
      </w:r>
      <w:proofErr w:type="spellEnd"/>
      <w:r w:rsidRPr="00A81DC9">
        <w:rPr>
          <w:rFonts w:hint="eastAsia"/>
        </w:rPr>
        <w:t xml:space="preserve"> </w:t>
      </w:r>
    </w:p>
    <w:p w14:paraId="461B60D7" w14:textId="77777777" w:rsidR="00A81DC9" w:rsidRPr="00A81DC9" w:rsidRDefault="00A81DC9" w:rsidP="00A81DC9">
      <w:pPr>
        <w:spacing w:line="360" w:lineRule="auto"/>
        <w:jc w:val="both"/>
      </w:pPr>
    </w:p>
    <w:p w14:paraId="235EE1C3" w14:textId="234847AB" w:rsidR="00A81DC9" w:rsidRPr="00A81DC9" w:rsidRDefault="00A81DC9" w:rsidP="00A81DC9">
      <w:pPr>
        <w:spacing w:line="360" w:lineRule="auto"/>
        <w:jc w:val="both"/>
      </w:pPr>
      <w:r w:rsidRPr="00A81DC9">
        <w:t xml:space="preserve">The observation for occurrence of study outcome </w:t>
      </w:r>
      <w:r>
        <w:t>starts</w:t>
      </w:r>
      <w:r w:rsidRPr="00A81DC9">
        <w:t xml:space="preserve"> after the day of treatment cessation and </w:t>
      </w:r>
      <w:r>
        <w:t>i</w:t>
      </w:r>
      <w:r w:rsidRPr="00A81DC9">
        <w:t xml:space="preserve">s censored at death, the last EHR encounter, or 6 months following antiviral re-treatment. </w:t>
      </w:r>
      <w:r>
        <w:t>The effect of</w:t>
      </w:r>
      <w:r w:rsidRPr="00A81DC9">
        <w:t xml:space="preserve"> retreatment </w:t>
      </w:r>
      <w:r>
        <w:t>on the outcome observation is further analyzed.</w:t>
      </w:r>
    </w:p>
    <w:p w14:paraId="0A07BE86" w14:textId="77777777" w:rsidR="00A81DC9" w:rsidRPr="00A81DC9" w:rsidRDefault="00A81DC9" w:rsidP="00A81DC9">
      <w:pPr>
        <w:spacing w:line="360" w:lineRule="auto"/>
        <w:jc w:val="both"/>
      </w:pPr>
    </w:p>
    <w:p w14:paraId="6624D57F" w14:textId="77777777" w:rsidR="00A81DC9" w:rsidRPr="00A81DC9" w:rsidRDefault="00A81DC9" w:rsidP="00A81DC9">
      <w:pPr>
        <w:spacing w:line="360" w:lineRule="auto"/>
        <w:jc w:val="both"/>
        <w:rPr>
          <w:b/>
          <w:bCs/>
          <w:i/>
          <w:iCs/>
        </w:rPr>
      </w:pPr>
      <w:r w:rsidRPr="00A81DC9">
        <w:rPr>
          <w:b/>
          <w:bCs/>
          <w:i/>
          <w:iCs/>
        </w:rPr>
        <w:t>Statistical analyses</w:t>
      </w:r>
    </w:p>
    <w:p w14:paraId="2E1F5988" w14:textId="77777777" w:rsidR="00A81DC9" w:rsidRPr="00A81DC9" w:rsidRDefault="00A81DC9" w:rsidP="00A81DC9">
      <w:pPr>
        <w:spacing w:line="360" w:lineRule="auto"/>
        <w:jc w:val="both"/>
      </w:pPr>
      <w:r w:rsidRPr="00A81DC9">
        <w:t xml:space="preserve">Data of continuous variables were summarized by medians along with interquartile ranges (IQRs) and those of categorical values were shown in numbers together with percentages. We applied the Kaplan Meier method to estimate the cumulative incidence rates of clinical events and examined the differences between patient subgroups by the log rank test. The incidence rates of study outcomes were calculated by event per </w:t>
      </w:r>
      <w:r w:rsidRPr="00A81DC9">
        <w:lastRenderedPageBreak/>
        <w:t>person-time, and the statistical significance for a chronological trend was examined using Poisson regression. As missing data were expected in this retrospective real-world analysis, we only summarized data that were available in more than 90% of the study population. Without data imputation, observations with missing data were regarded as random occurrences and not included in the regression analyses. A sensitivity test was performed to include only patients who received either entecavir or tenofovir.</w:t>
      </w:r>
    </w:p>
    <w:p w14:paraId="03BA7B92" w14:textId="77777777" w:rsidR="00A81DC9" w:rsidRPr="00A81DC9" w:rsidRDefault="00A81DC9" w:rsidP="00A81DC9">
      <w:pPr>
        <w:spacing w:line="360" w:lineRule="auto"/>
        <w:jc w:val="both"/>
      </w:pPr>
    </w:p>
    <w:p w14:paraId="523DCF48" w14:textId="24233641" w:rsidR="00F85CE4" w:rsidRPr="00A81DC9" w:rsidRDefault="00A81DC9" w:rsidP="00A81DC9">
      <w:pPr>
        <w:spacing w:line="360" w:lineRule="auto"/>
        <w:jc w:val="both"/>
        <w:rPr>
          <w:rFonts w:eastAsia="標楷體"/>
          <w:kern w:val="0"/>
        </w:rPr>
      </w:pPr>
      <w:r w:rsidRPr="00A81DC9">
        <w:t>For a study outcome with more than 10 event occurrences, the Cox proportional hazard model was performed to explore risk factors. We carried out the multivariable analysis in a stepwise manner to remove variables that were not statistically significant. Point estimates were reported along with 95% confidence intervals (CIs). All statistical examinations were two-sided. Statistical significance was set at a P value &lt;0.05. All analyses were performed using the commercially available software SAS (version 9.4, SAS Institute, Cary, NC, USA).</w:t>
      </w:r>
    </w:p>
    <w:p w14:paraId="1B4A1B52" w14:textId="6A3E4F77" w:rsidR="00B33CC1" w:rsidRPr="00C1486D" w:rsidRDefault="00F85CE4" w:rsidP="006F3A64">
      <w:pPr>
        <w:autoSpaceDE w:val="0"/>
        <w:autoSpaceDN w:val="0"/>
        <w:adjustRightInd w:val="0"/>
        <w:spacing w:line="360" w:lineRule="auto"/>
        <w:ind w:firstLineChars="200" w:firstLine="480"/>
        <w:jc w:val="both"/>
        <w:rPr>
          <w:lang w:val="en-GB"/>
        </w:rPr>
      </w:pPr>
      <w:r w:rsidRPr="00C1486D">
        <w:rPr>
          <w:rFonts w:eastAsia="標楷體"/>
        </w:rPr>
        <w:t xml:space="preserve"> </w:t>
      </w:r>
      <w:r w:rsidR="00B33CC1" w:rsidRPr="00C1486D">
        <w:rPr>
          <w:color w:val="000000"/>
          <w:szCs w:val="22"/>
          <w:lang w:val="en-GB"/>
        </w:rPr>
        <w:t xml:space="preserve"> </w:t>
      </w:r>
    </w:p>
    <w:p w14:paraId="0506C6CD" w14:textId="77777777" w:rsidR="000B1A12" w:rsidRPr="00C1486D" w:rsidRDefault="00F552D7" w:rsidP="00D12F75">
      <w:pPr>
        <w:spacing w:line="360" w:lineRule="auto"/>
        <w:jc w:val="both"/>
        <w:rPr>
          <w:b/>
          <w:bCs/>
          <w:caps/>
          <w:color w:val="000000"/>
          <w:sz w:val="20"/>
        </w:rPr>
      </w:pPr>
      <w:r w:rsidRPr="00C1486D">
        <w:rPr>
          <w:b/>
          <w:bCs/>
          <w:caps/>
          <w:color w:val="000000"/>
          <w:szCs w:val="32"/>
        </w:rPr>
        <w:t xml:space="preserve">References: </w:t>
      </w:r>
    </w:p>
    <w:p w14:paraId="02A2D3F3" w14:textId="2D437228" w:rsidR="006F3A64" w:rsidRDefault="00CE419E" w:rsidP="00CE419E">
      <w:pPr>
        <w:pStyle w:val="a8"/>
        <w:numPr>
          <w:ilvl w:val="0"/>
          <w:numId w:val="7"/>
        </w:numPr>
        <w:ind w:leftChars="0"/>
        <w:rPr>
          <w:noProof/>
          <w:szCs w:val="22"/>
        </w:rPr>
      </w:pPr>
      <w:r w:rsidRPr="00CE419E">
        <w:rPr>
          <w:noProof/>
          <w:szCs w:val="22"/>
        </w:rPr>
        <w:t>Hsu YC, Huang DQ, Nguyen MH. Global burden of hepatitis B virus: current status, missed opportunities and a call for action. Nat Rev Gastroenterol Hepatol. 2023 Aug;20(8):524-537.</w:t>
      </w:r>
    </w:p>
    <w:p w14:paraId="3FE3A1AB" w14:textId="2582EE99" w:rsidR="00CE419E" w:rsidRDefault="00CE419E" w:rsidP="00CE419E">
      <w:pPr>
        <w:pStyle w:val="a8"/>
        <w:numPr>
          <w:ilvl w:val="0"/>
          <w:numId w:val="7"/>
        </w:numPr>
        <w:ind w:leftChars="0"/>
        <w:rPr>
          <w:noProof/>
          <w:szCs w:val="22"/>
        </w:rPr>
      </w:pPr>
      <w:r w:rsidRPr="00CE419E">
        <w:rPr>
          <w:noProof/>
          <w:szCs w:val="22"/>
        </w:rPr>
        <w:t>Polaris Observatory Collaborators. Global prevalence, cascade of care, and prophylaxis coverage of hepatitis B in 2022: a modelling study. Lancet Gastroenterol Hepatol. 2023 Oct;8(10):879-907.</w:t>
      </w:r>
    </w:p>
    <w:p w14:paraId="758DF0E3" w14:textId="40F810E5" w:rsidR="00CE419E" w:rsidRDefault="00CE419E" w:rsidP="00CE419E">
      <w:pPr>
        <w:pStyle w:val="a8"/>
        <w:numPr>
          <w:ilvl w:val="0"/>
          <w:numId w:val="7"/>
        </w:numPr>
        <w:ind w:leftChars="0"/>
        <w:rPr>
          <w:noProof/>
          <w:szCs w:val="22"/>
        </w:rPr>
      </w:pPr>
      <w:r w:rsidRPr="00CE419E">
        <w:rPr>
          <w:noProof/>
          <w:szCs w:val="22"/>
        </w:rPr>
        <w:t>Hsu YC, Tseng CH, Kao JH. Safety Considerations for Withdrawal of Nucleos(t)ide Analogues in Patients with Chronic Hepatitis B: First, Do No Harm. Clin Mol Hepatol. 2023 Mar 14. doi: 10.3350/cmh.2022.0420. Epub ahead of print.</w:t>
      </w:r>
    </w:p>
    <w:p w14:paraId="0F1C36A1" w14:textId="044F129F" w:rsidR="00CE419E" w:rsidRDefault="00CE419E" w:rsidP="00CE419E">
      <w:pPr>
        <w:pStyle w:val="a8"/>
        <w:numPr>
          <w:ilvl w:val="0"/>
          <w:numId w:val="7"/>
        </w:numPr>
        <w:ind w:leftChars="0"/>
        <w:rPr>
          <w:noProof/>
          <w:szCs w:val="22"/>
        </w:rPr>
      </w:pPr>
      <w:r w:rsidRPr="00CE419E">
        <w:rPr>
          <w:noProof/>
          <w:szCs w:val="22"/>
        </w:rPr>
        <w:t>Tseng CH, Chen TH, Wu JL, Lee TY, Borghi JA, Lin JT, Nguyen MH, Hsu YC. Serious adverse events after cessation of nucleos(t)ide analogues in individuals with chronic hepatitis B: A systematic review and meta-analysis. JHEP Rep. 2022 Oct 28;5(1):100617.</w:t>
      </w:r>
    </w:p>
    <w:p w14:paraId="311EDAB9" w14:textId="71B16B9C" w:rsidR="00CE419E" w:rsidRDefault="00CE419E" w:rsidP="00CE419E">
      <w:pPr>
        <w:pStyle w:val="a8"/>
        <w:numPr>
          <w:ilvl w:val="0"/>
          <w:numId w:val="7"/>
        </w:numPr>
        <w:ind w:leftChars="0"/>
        <w:rPr>
          <w:noProof/>
          <w:szCs w:val="22"/>
        </w:rPr>
      </w:pPr>
      <w:r w:rsidRPr="00CE419E">
        <w:rPr>
          <w:noProof/>
          <w:szCs w:val="22"/>
        </w:rPr>
        <w:lastRenderedPageBreak/>
        <w:t>Liaw YF. Hepatitis B flare: the good, the bad and the ugly. Expert Rev Gastroenterol Hepatol. 2022 Nov-Dec;16(11-12):1043-1051.</w:t>
      </w:r>
    </w:p>
    <w:p w14:paraId="12BBAEBC" w14:textId="3DF312A3" w:rsidR="00CE419E" w:rsidRDefault="00CE419E" w:rsidP="00CE419E">
      <w:pPr>
        <w:pStyle w:val="a8"/>
        <w:numPr>
          <w:ilvl w:val="0"/>
          <w:numId w:val="7"/>
        </w:numPr>
        <w:ind w:leftChars="0"/>
        <w:rPr>
          <w:noProof/>
          <w:szCs w:val="22"/>
        </w:rPr>
      </w:pPr>
      <w:r w:rsidRPr="00CE419E">
        <w:rPr>
          <w:noProof/>
          <w:szCs w:val="22"/>
        </w:rPr>
        <w:t>Hirode G, Choi HSJ, Chen CH, Su TH, Seto WK, Van Hees S, Papatheodoridi M, Lens S, Wong G, Brakenhoff SM, Chien RN, Feld J, Sonneveld MJ, Chan HLY, Forns X, Papatheodoridis GV, Vanwolleghem T, Yuen MF, Hsu YC, Kao JH, Cornberg M, Hansen BE, Jeng WJ, Janssen HLA; RETRACT-B Study Group. Off-Therapy Response After Nucleos(t)ide Analogue Withdrawal in Patients With Chronic Hepatitis B: An International, Multicenter, Multiethnic Cohort (RETRACT-B Study). Gastroenterology. 2022 Mar;162(3):757-771.e4.</w:t>
      </w:r>
    </w:p>
    <w:p w14:paraId="009988D9" w14:textId="54B9C8CA" w:rsidR="00CE419E" w:rsidRDefault="00CE419E" w:rsidP="00CE419E">
      <w:pPr>
        <w:pStyle w:val="a8"/>
        <w:numPr>
          <w:ilvl w:val="0"/>
          <w:numId w:val="7"/>
        </w:numPr>
        <w:ind w:leftChars="0"/>
        <w:rPr>
          <w:noProof/>
          <w:szCs w:val="22"/>
        </w:rPr>
      </w:pPr>
      <w:r w:rsidRPr="00CE419E">
        <w:rPr>
          <w:noProof/>
          <w:szCs w:val="22"/>
        </w:rPr>
        <w:t>Hsu YC, Wu JL, Tseng CH, Nguyen MH, Lin CW, Hung CL. Severe Acute Exacerbation After Cessation of Nucleos(t)ide Analog for Chronic Hepatitis B: A Real-World Study of Routine Practice. Clin Gastroenterol Hepatol. 2022 Jun;20(6):1413-1415.e3.</w:t>
      </w:r>
    </w:p>
    <w:p w14:paraId="49F623D0" w14:textId="3C27DAFB" w:rsidR="00CE419E" w:rsidRDefault="00CE419E" w:rsidP="00CE419E">
      <w:pPr>
        <w:pStyle w:val="a8"/>
        <w:numPr>
          <w:ilvl w:val="0"/>
          <w:numId w:val="7"/>
        </w:numPr>
        <w:ind w:leftChars="0"/>
        <w:rPr>
          <w:noProof/>
          <w:szCs w:val="22"/>
        </w:rPr>
      </w:pPr>
      <w:r w:rsidRPr="00CE419E">
        <w:rPr>
          <w:noProof/>
          <w:szCs w:val="22"/>
        </w:rPr>
        <w:t>Hsu YC, Yeh ML, Wong GL, Chen CH, Peng CY, Buti M, Enomoto M, Xie Q, Trinh H, Preda C, Liu L, Cheung KS, Yeo YH, Hoang J, Huang CF, Riveiro-Barciela M, Kozuka R, Istratescu D, Tsai PC, Accarino EV, Lee DH, Wu JL, Huang JF, Dai CY, Cheung R, Chuang WL, Yuen MF, Wong VW, Yu ML, Nguyen MH. Incidences and Determinants of Functional Cure During Entecavir or Tenofovir Disoproxil Fumarate for Chronic Hepatitis B. J Infect Dis. 2021 Dec 1;224(11):1890-1899.</w:t>
      </w:r>
    </w:p>
    <w:p w14:paraId="079F03FC" w14:textId="77777777" w:rsidR="00CE419E" w:rsidRDefault="00CE419E" w:rsidP="00CE419E">
      <w:pPr>
        <w:pStyle w:val="a8"/>
        <w:numPr>
          <w:ilvl w:val="0"/>
          <w:numId w:val="7"/>
        </w:numPr>
        <w:ind w:leftChars="0"/>
        <w:rPr>
          <w:noProof/>
          <w:szCs w:val="22"/>
        </w:rPr>
      </w:pPr>
      <w:r w:rsidRPr="00CE419E">
        <w:rPr>
          <w:noProof/>
          <w:szCs w:val="22"/>
        </w:rPr>
        <w:t>Hsu YC, Nguyen MH, Mo LR, Wu MS, Yang TH, Chen CC, Tseng CH, Tai CM, Wu CY, Lin JT, Tanaka Y, Chang CY. Combining hepatitis B core-related and surface antigens at end of nucleos(t)ide analogue treatment to predict off-therapy relapse risk. Aliment Pharmacol Ther. 2019 Jan;49(1):107-115.</w:t>
      </w:r>
    </w:p>
    <w:p w14:paraId="7005E7BE" w14:textId="0C5A84A2" w:rsidR="00CE419E" w:rsidRPr="00CE419E" w:rsidRDefault="00CE419E" w:rsidP="00CE419E">
      <w:pPr>
        <w:pStyle w:val="a8"/>
        <w:numPr>
          <w:ilvl w:val="0"/>
          <w:numId w:val="7"/>
        </w:numPr>
        <w:ind w:leftChars="0"/>
        <w:rPr>
          <w:noProof/>
          <w:szCs w:val="22"/>
        </w:rPr>
      </w:pPr>
      <w:r w:rsidRPr="00CE419E">
        <w:rPr>
          <w:noProof/>
          <w:szCs w:val="22"/>
        </w:rPr>
        <w:t>Liaw YF. Hepatitis B Flare After Cessation of Nucleos(t)ide Analogue Therapy in HBeAg-Negative Chronic Hepatitis B: To Retreat or Not to Retreat. Hepatology. 2021 Feb;73(2):843-852.</w:t>
      </w:r>
    </w:p>
    <w:sectPr w:rsidR="00CE419E" w:rsidRPr="00CE41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BAB5" w14:textId="77777777" w:rsidR="00257AC3" w:rsidRDefault="00257AC3" w:rsidP="002678C0">
      <w:r>
        <w:separator/>
      </w:r>
    </w:p>
  </w:endnote>
  <w:endnote w:type="continuationSeparator" w:id="0">
    <w:p w14:paraId="75EB65C9" w14:textId="77777777" w:rsidR="00257AC3" w:rsidRDefault="00257AC3"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84BF" w14:textId="77777777" w:rsidR="00257AC3" w:rsidRDefault="00257AC3" w:rsidP="002678C0">
      <w:r>
        <w:separator/>
      </w:r>
    </w:p>
  </w:footnote>
  <w:footnote w:type="continuationSeparator" w:id="0">
    <w:p w14:paraId="586A1377" w14:textId="77777777" w:rsidR="00257AC3" w:rsidRDefault="00257AC3" w:rsidP="0026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614"/>
    <w:multiLevelType w:val="hybridMultilevel"/>
    <w:tmpl w:val="263E75C6"/>
    <w:lvl w:ilvl="0" w:tplc="EAA20102">
      <w:start w:val="1"/>
      <w:numFmt w:val="decimalFullWidth"/>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314C83"/>
    <w:multiLevelType w:val="hybridMultilevel"/>
    <w:tmpl w:val="BC22E3C0"/>
    <w:lvl w:ilvl="0" w:tplc="E92AAFD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EE7AC6"/>
    <w:multiLevelType w:val="hybridMultilevel"/>
    <w:tmpl w:val="55306344"/>
    <w:lvl w:ilvl="0" w:tplc="BF06D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5FEE000C"/>
    <w:multiLevelType w:val="hybridMultilevel"/>
    <w:tmpl w:val="91B08890"/>
    <w:lvl w:ilvl="0" w:tplc="6E18EE3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09476406">
    <w:abstractNumId w:val="5"/>
  </w:num>
  <w:num w:numId="2" w16cid:durableId="2102556479">
    <w:abstractNumId w:val="3"/>
  </w:num>
  <w:num w:numId="3" w16cid:durableId="184251998">
    <w:abstractNumId w:val="4"/>
  </w:num>
  <w:num w:numId="4" w16cid:durableId="2060781130">
    <w:abstractNumId w:val="2"/>
  </w:num>
  <w:num w:numId="5" w16cid:durableId="713387728">
    <w:abstractNumId w:val="6"/>
  </w:num>
  <w:num w:numId="6" w16cid:durableId="36787091">
    <w:abstractNumId w:val="0"/>
  </w:num>
  <w:num w:numId="7" w16cid:durableId="19674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C0"/>
    <w:rsid w:val="000237C8"/>
    <w:rsid w:val="00057630"/>
    <w:rsid w:val="000B1A12"/>
    <w:rsid w:val="00106D38"/>
    <w:rsid w:val="00183ACB"/>
    <w:rsid w:val="001B6C88"/>
    <w:rsid w:val="001C352E"/>
    <w:rsid w:val="002173DF"/>
    <w:rsid w:val="00217B41"/>
    <w:rsid w:val="002367E3"/>
    <w:rsid w:val="00257AC3"/>
    <w:rsid w:val="00261B60"/>
    <w:rsid w:val="0026489A"/>
    <w:rsid w:val="002678C0"/>
    <w:rsid w:val="002967FB"/>
    <w:rsid w:val="002C0C1B"/>
    <w:rsid w:val="002F0096"/>
    <w:rsid w:val="003142F5"/>
    <w:rsid w:val="00361966"/>
    <w:rsid w:val="00386058"/>
    <w:rsid w:val="00387823"/>
    <w:rsid w:val="00392CA7"/>
    <w:rsid w:val="00392E4A"/>
    <w:rsid w:val="003A19EC"/>
    <w:rsid w:val="003B12A7"/>
    <w:rsid w:val="003E48DD"/>
    <w:rsid w:val="003E4CFA"/>
    <w:rsid w:val="003F13BA"/>
    <w:rsid w:val="004101A8"/>
    <w:rsid w:val="00413F6C"/>
    <w:rsid w:val="0043431E"/>
    <w:rsid w:val="00437094"/>
    <w:rsid w:val="0048695D"/>
    <w:rsid w:val="004B58CF"/>
    <w:rsid w:val="004D5AFE"/>
    <w:rsid w:val="004E2477"/>
    <w:rsid w:val="0051680D"/>
    <w:rsid w:val="00526E1C"/>
    <w:rsid w:val="00541433"/>
    <w:rsid w:val="0055566E"/>
    <w:rsid w:val="005820CC"/>
    <w:rsid w:val="00587B80"/>
    <w:rsid w:val="005A06D3"/>
    <w:rsid w:val="005A19AB"/>
    <w:rsid w:val="005B64F3"/>
    <w:rsid w:val="005E3CCE"/>
    <w:rsid w:val="005F4B5A"/>
    <w:rsid w:val="006066FB"/>
    <w:rsid w:val="0061260B"/>
    <w:rsid w:val="00624B7B"/>
    <w:rsid w:val="00626481"/>
    <w:rsid w:val="0067476F"/>
    <w:rsid w:val="006848D2"/>
    <w:rsid w:val="006F121D"/>
    <w:rsid w:val="006F3A64"/>
    <w:rsid w:val="00704427"/>
    <w:rsid w:val="0071745C"/>
    <w:rsid w:val="00721751"/>
    <w:rsid w:val="007352D5"/>
    <w:rsid w:val="007723A5"/>
    <w:rsid w:val="007772F3"/>
    <w:rsid w:val="00782894"/>
    <w:rsid w:val="00783C3D"/>
    <w:rsid w:val="007A0FC9"/>
    <w:rsid w:val="007C6DF1"/>
    <w:rsid w:val="007F3089"/>
    <w:rsid w:val="0082430A"/>
    <w:rsid w:val="00826ADC"/>
    <w:rsid w:val="008419D6"/>
    <w:rsid w:val="008467F9"/>
    <w:rsid w:val="0086749D"/>
    <w:rsid w:val="008C28DC"/>
    <w:rsid w:val="008D7A14"/>
    <w:rsid w:val="008E26F0"/>
    <w:rsid w:val="008E4474"/>
    <w:rsid w:val="008E62B2"/>
    <w:rsid w:val="009558C6"/>
    <w:rsid w:val="0096010D"/>
    <w:rsid w:val="0096151E"/>
    <w:rsid w:val="00986052"/>
    <w:rsid w:val="009A4899"/>
    <w:rsid w:val="009A7637"/>
    <w:rsid w:val="009C45A6"/>
    <w:rsid w:val="009F5AF7"/>
    <w:rsid w:val="00A35921"/>
    <w:rsid w:val="00A50237"/>
    <w:rsid w:val="00A51206"/>
    <w:rsid w:val="00A64745"/>
    <w:rsid w:val="00A81DC9"/>
    <w:rsid w:val="00A8741B"/>
    <w:rsid w:val="00A97796"/>
    <w:rsid w:val="00AA1386"/>
    <w:rsid w:val="00AB6D6E"/>
    <w:rsid w:val="00AD1916"/>
    <w:rsid w:val="00B02586"/>
    <w:rsid w:val="00B07BAC"/>
    <w:rsid w:val="00B17525"/>
    <w:rsid w:val="00B33CC1"/>
    <w:rsid w:val="00B34359"/>
    <w:rsid w:val="00BD1D25"/>
    <w:rsid w:val="00BE0F3C"/>
    <w:rsid w:val="00C13832"/>
    <w:rsid w:val="00C1486D"/>
    <w:rsid w:val="00C26638"/>
    <w:rsid w:val="00C73079"/>
    <w:rsid w:val="00C7463C"/>
    <w:rsid w:val="00C74FC2"/>
    <w:rsid w:val="00CC1F92"/>
    <w:rsid w:val="00CD1D6A"/>
    <w:rsid w:val="00CE419E"/>
    <w:rsid w:val="00CF6FC0"/>
    <w:rsid w:val="00D06252"/>
    <w:rsid w:val="00D1172B"/>
    <w:rsid w:val="00D12F75"/>
    <w:rsid w:val="00D500D6"/>
    <w:rsid w:val="00D70640"/>
    <w:rsid w:val="00D845D0"/>
    <w:rsid w:val="00DA7D4B"/>
    <w:rsid w:val="00DE5323"/>
    <w:rsid w:val="00E317B0"/>
    <w:rsid w:val="00E50D32"/>
    <w:rsid w:val="00E63292"/>
    <w:rsid w:val="00EB035B"/>
    <w:rsid w:val="00EB2EB3"/>
    <w:rsid w:val="00EC3D66"/>
    <w:rsid w:val="00ED0954"/>
    <w:rsid w:val="00ED1AAD"/>
    <w:rsid w:val="00F13BFF"/>
    <w:rsid w:val="00F34A3E"/>
    <w:rsid w:val="00F552D7"/>
    <w:rsid w:val="00F85CE4"/>
    <w:rsid w:val="00F96AEB"/>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54B81"/>
  <w15:chartTrackingRefBased/>
  <w15:docId w15:val="{9360065B-FF2D-43DD-A77A-846953A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 w:type="paragraph" w:styleId="a8">
    <w:name w:val="List Paragraph"/>
    <w:basedOn w:val="a"/>
    <w:uiPriority w:val="34"/>
    <w:qFormat/>
    <w:rsid w:val="00CE41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1757</Words>
  <Characters>10018</Characters>
  <Application>Microsoft Office Word</Application>
  <DocSecurity>0</DocSecurity>
  <Lines>83</Lines>
  <Paragraphs>23</Paragraphs>
  <ScaleCrop>false</ScaleCrop>
  <Company>CMT</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subject/>
  <dc:creator>user</dc:creator>
  <cp:keywords/>
  <cp:lastModifiedBy>Holden Hsu</cp:lastModifiedBy>
  <cp:revision>3</cp:revision>
  <dcterms:created xsi:type="dcterms:W3CDTF">2023-09-29T03:28:00Z</dcterms:created>
  <dcterms:modified xsi:type="dcterms:W3CDTF">2023-09-29T05:21:00Z</dcterms:modified>
</cp:coreProperties>
</file>