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E977A" w14:textId="77777777" w:rsidR="00AB6B8F" w:rsidRDefault="00AB6B8F">
      <w:pPr>
        <w:ind w:left="-720" w:right="-874"/>
        <w:jc w:val="center"/>
        <w:rPr>
          <w:rFonts w:ascii="標楷體" w:eastAsia="標楷體" w:hAnsi="標楷體"/>
          <w:b/>
          <w:bCs/>
          <w:color w:val="000000"/>
          <w:position w:val="8"/>
          <w:sz w:val="36"/>
          <w:szCs w:val="36"/>
        </w:rPr>
      </w:pPr>
      <w:r>
        <w:rPr>
          <w:rFonts w:ascii="標楷體" w:eastAsia="標楷體" w:hAnsi="標楷體"/>
          <w:b/>
          <w:bCs/>
          <w:color w:val="000000"/>
          <w:position w:val="8"/>
          <w:sz w:val="36"/>
          <w:szCs w:val="36"/>
        </w:rPr>
        <w:t>財團法人明日醫學基金會補助專題研究計畫</w:t>
      </w:r>
    </w:p>
    <w:p w14:paraId="7885E7E0" w14:textId="77777777" w:rsidR="00AB6B8F" w:rsidRDefault="00AB6B8F">
      <w:pPr>
        <w:ind w:left="-720" w:right="-874" w:firstLine="720"/>
        <w:jc w:val="center"/>
        <w:rPr>
          <w:rFonts w:ascii="標楷體" w:eastAsia="標楷體" w:hAnsi="標楷體"/>
          <w:b/>
          <w:bCs/>
          <w:color w:val="000000"/>
          <w:position w:val="8"/>
          <w:sz w:val="36"/>
          <w:szCs w:val="36"/>
          <w:lang w:eastAsia="ar-SA"/>
        </w:rPr>
      </w:pPr>
      <w:r>
        <w:rPr>
          <w:rFonts w:ascii="標楷體" w:eastAsia="標楷體" w:hAnsi="標楷體"/>
          <w:b/>
          <w:bCs/>
          <w:color w:val="000000"/>
          <w:position w:val="8"/>
          <w:sz w:val="36"/>
          <w:szCs w:val="36"/>
        </w:rPr>
        <w:sym w:font="Wingdings 2" w:char="F052"/>
      </w:r>
      <w:r>
        <w:rPr>
          <w:rFonts w:ascii="標楷體" w:eastAsia="標楷體" w:hAnsi="標楷體"/>
          <w:b/>
          <w:bCs/>
          <w:color w:val="000000"/>
          <w:position w:val="8"/>
          <w:sz w:val="36"/>
          <w:szCs w:val="36"/>
        </w:rPr>
        <w:t xml:space="preserve">成果報告 </w:t>
      </w:r>
      <w:r>
        <w:rPr>
          <w:rFonts w:ascii="標楷體" w:eastAsia="標楷體" w:hAnsi="標楷體"/>
          <w:b/>
          <w:bCs/>
          <w:color w:val="000000"/>
          <w:position w:val="8"/>
          <w:sz w:val="36"/>
          <w:szCs w:val="36"/>
          <w:lang w:eastAsia="ar-SA"/>
        </w:rPr>
        <w:t>□</w:t>
      </w:r>
      <w:r>
        <w:rPr>
          <w:rFonts w:ascii="標楷體" w:eastAsia="標楷體" w:hAnsi="標楷體"/>
          <w:b/>
          <w:bCs/>
          <w:color w:val="000000"/>
          <w:position w:val="8"/>
          <w:sz w:val="36"/>
          <w:szCs w:val="36"/>
        </w:rPr>
        <w:t>期中進度報告</w:t>
      </w:r>
    </w:p>
    <w:p w14:paraId="441D844C" w14:textId="77777777" w:rsidR="00AB6B8F" w:rsidRDefault="00AB6B8F">
      <w:pPr>
        <w:ind w:firstLine="841"/>
        <w:jc w:val="center"/>
        <w:rPr>
          <w:rFonts w:ascii="sө" w:hAnsi="sө" w:hint="eastAsia"/>
          <w:b/>
          <w:bCs/>
          <w:color w:val="CC3333"/>
          <w:sz w:val="28"/>
          <w:szCs w:val="32"/>
        </w:rPr>
      </w:pPr>
    </w:p>
    <w:p w14:paraId="3B691E44" w14:textId="77777777" w:rsidR="00570994" w:rsidRDefault="00AB6B8F" w:rsidP="007D44ED">
      <w:pPr>
        <w:ind w:left="1500" w:hangingChars="500" w:hanging="1500"/>
        <w:jc w:val="both"/>
        <w:rPr>
          <w:rFonts w:ascii="標楷體" w:eastAsia="標楷體" w:hAnsi="標楷體"/>
          <w:color w:val="333333"/>
          <w:sz w:val="30"/>
          <w:szCs w:val="30"/>
        </w:rPr>
      </w:pPr>
      <w:r w:rsidRPr="00244843">
        <w:rPr>
          <w:rFonts w:ascii="標楷體" w:eastAsia="標楷體" w:hAnsi="標楷體"/>
          <w:color w:val="333333"/>
          <w:sz w:val="30"/>
          <w:szCs w:val="30"/>
        </w:rPr>
        <w:t>計畫名稱：</w:t>
      </w:r>
    </w:p>
    <w:p w14:paraId="4ABAFB8E" w14:textId="4A34A824" w:rsidR="00715928" w:rsidRPr="00715928" w:rsidRDefault="002A23B1" w:rsidP="00715928">
      <w:pPr>
        <w:rPr>
          <w:rFonts w:eastAsia="標楷體"/>
          <w:color w:val="333333"/>
        </w:rPr>
      </w:pPr>
      <w:r w:rsidRPr="002A23B1">
        <w:rPr>
          <w:rFonts w:eastAsia="標楷體"/>
          <w:color w:val="333333"/>
        </w:rPr>
        <w:t>B</w:t>
      </w:r>
      <w:r w:rsidRPr="002A23B1">
        <w:rPr>
          <w:rFonts w:eastAsia="標楷體" w:hint="eastAsia"/>
          <w:color w:val="333333"/>
        </w:rPr>
        <w:t>型肝炎核心關聯抗原在</w:t>
      </w:r>
      <w:proofErr w:type="gramStart"/>
      <w:r w:rsidRPr="002A23B1">
        <w:rPr>
          <w:rFonts w:eastAsia="標楷體" w:hint="eastAsia"/>
          <w:color w:val="333333"/>
        </w:rPr>
        <w:t>停止類核</w:t>
      </w:r>
      <w:proofErr w:type="gramEnd"/>
      <w:r w:rsidRPr="002A23B1">
        <w:rPr>
          <w:rFonts w:eastAsia="標楷體" w:hint="eastAsia"/>
          <w:color w:val="333333"/>
        </w:rPr>
        <w:t>苷</w:t>
      </w:r>
      <w:r w:rsidRPr="002A23B1">
        <w:rPr>
          <w:rFonts w:eastAsia="標楷體"/>
          <w:color w:val="333333"/>
        </w:rPr>
        <w:t>(</w:t>
      </w:r>
      <w:r w:rsidRPr="002A23B1">
        <w:rPr>
          <w:rFonts w:eastAsia="標楷體" w:hint="eastAsia"/>
          <w:color w:val="333333"/>
        </w:rPr>
        <w:t>酸</w:t>
      </w:r>
      <w:r w:rsidRPr="002A23B1">
        <w:rPr>
          <w:rFonts w:eastAsia="標楷體"/>
          <w:color w:val="333333"/>
        </w:rPr>
        <w:t>)</w:t>
      </w:r>
      <w:r w:rsidRPr="002A23B1">
        <w:rPr>
          <w:rFonts w:eastAsia="標楷體" w:hint="eastAsia"/>
          <w:color w:val="333333"/>
        </w:rPr>
        <w:t>治療後的動態測量以預測後續臨床肝炎復發</w:t>
      </w:r>
    </w:p>
    <w:p w14:paraId="02516329" w14:textId="55D6831B" w:rsidR="00715928" w:rsidRPr="00715928" w:rsidRDefault="002A23B1" w:rsidP="00715928">
      <w:pPr>
        <w:rPr>
          <w:rFonts w:eastAsia="標楷體"/>
          <w:color w:val="333333"/>
        </w:rPr>
      </w:pPr>
      <w:r w:rsidRPr="002A23B1">
        <w:rPr>
          <w:rFonts w:eastAsia="標楷體"/>
        </w:rPr>
        <w:t>Dynamic Measurement of Hepatitis B Core-related Antigen After Cessation of Nucleos(t)ide Analogues to Predict Subsequent Clinical Relapse</w:t>
      </w:r>
    </w:p>
    <w:p w14:paraId="0755D6F1" w14:textId="77777777" w:rsidR="00467DF5" w:rsidRPr="009C2E40" w:rsidRDefault="00467DF5" w:rsidP="007D44ED">
      <w:pPr>
        <w:ind w:left="1500" w:hangingChars="500" w:hanging="1500"/>
        <w:jc w:val="both"/>
        <w:rPr>
          <w:rFonts w:ascii="標楷體" w:eastAsia="標楷體" w:hAnsi="標楷體"/>
          <w:color w:val="333333"/>
          <w:sz w:val="30"/>
          <w:szCs w:val="28"/>
        </w:rPr>
      </w:pPr>
    </w:p>
    <w:p w14:paraId="03239421" w14:textId="434292CD" w:rsidR="00AB6B8F" w:rsidRDefault="00AB6B8F" w:rsidP="00911506">
      <w:pPr>
        <w:spacing w:line="440" w:lineRule="exact"/>
        <w:jc w:val="both"/>
        <w:rPr>
          <w:rFonts w:ascii="標楷體" w:eastAsia="標楷體" w:hAnsi="標楷體"/>
          <w:color w:val="333333"/>
          <w:sz w:val="30"/>
          <w:szCs w:val="28"/>
        </w:rPr>
      </w:pPr>
      <w:r>
        <w:rPr>
          <w:rFonts w:ascii="標楷體" w:eastAsia="標楷體" w:hAnsi="標楷體"/>
          <w:color w:val="333333"/>
          <w:sz w:val="30"/>
          <w:szCs w:val="28"/>
        </w:rPr>
        <w:t>計畫類別：</w:t>
      </w:r>
      <w:r>
        <w:rPr>
          <w:rFonts w:ascii="Wingdings 2" w:hAnsi="Wingdings 2"/>
          <w:b/>
          <w:bCs/>
          <w:color w:val="000000"/>
          <w:sz w:val="40"/>
          <w:szCs w:val="72"/>
        </w:rPr>
        <w:t></w:t>
      </w:r>
      <w:r>
        <w:rPr>
          <w:rFonts w:ascii="標楷體" w:eastAsia="標楷體" w:hAnsi="標楷體"/>
          <w:color w:val="333333"/>
          <w:sz w:val="30"/>
          <w:szCs w:val="28"/>
        </w:rPr>
        <w:t xml:space="preserve"> 個別型計畫　　□ 整合型計畫</w:t>
      </w:r>
      <w:r>
        <w:rPr>
          <w:rFonts w:ascii="標楷體" w:eastAsia="標楷體" w:hAnsi="標楷體"/>
          <w:color w:val="333333"/>
          <w:sz w:val="30"/>
          <w:szCs w:val="28"/>
        </w:rPr>
        <w:br/>
      </w:r>
      <w:r>
        <w:rPr>
          <w:rFonts w:ascii="標楷體" w:eastAsia="標楷體" w:hAnsi="標楷體"/>
          <w:color w:val="333333"/>
          <w:sz w:val="30"/>
          <w:szCs w:val="28"/>
        </w:rPr>
        <w:br/>
      </w:r>
      <w:r w:rsidR="00C62DAD">
        <w:rPr>
          <w:rFonts w:ascii="標楷體" w:eastAsia="標楷體" w:hAnsi="標楷體"/>
          <w:color w:val="333333"/>
          <w:sz w:val="30"/>
          <w:szCs w:val="28"/>
        </w:rPr>
        <w:t>執行期間：</w:t>
      </w:r>
      <w:r w:rsidR="007D44ED">
        <w:rPr>
          <w:rFonts w:eastAsia="標楷體" w:hint="eastAsia"/>
          <w:sz w:val="28"/>
        </w:rPr>
        <w:t xml:space="preserve"> 1</w:t>
      </w:r>
      <w:r w:rsidR="00A12016">
        <w:rPr>
          <w:rFonts w:eastAsia="標楷體"/>
          <w:sz w:val="28"/>
        </w:rPr>
        <w:t>1</w:t>
      </w:r>
      <w:r w:rsidR="002A23B1">
        <w:rPr>
          <w:rFonts w:eastAsia="標楷體" w:hint="eastAsia"/>
          <w:sz w:val="28"/>
        </w:rPr>
        <w:t>1</w:t>
      </w:r>
      <w:r>
        <w:rPr>
          <w:rFonts w:eastAsia="標楷體" w:hint="eastAsia"/>
          <w:sz w:val="28"/>
        </w:rPr>
        <w:t xml:space="preserve"> </w:t>
      </w:r>
      <w:r>
        <w:rPr>
          <w:rFonts w:eastAsia="標楷體" w:hint="eastAsia"/>
          <w:sz w:val="28"/>
        </w:rPr>
        <w:t>年</w:t>
      </w:r>
      <w:r>
        <w:rPr>
          <w:rFonts w:eastAsia="標楷體" w:hint="eastAsia"/>
          <w:sz w:val="28"/>
        </w:rPr>
        <w:t xml:space="preserve"> </w:t>
      </w:r>
      <w:r w:rsidR="00C62DAD">
        <w:rPr>
          <w:rFonts w:eastAsia="標楷體" w:hint="eastAsia"/>
          <w:sz w:val="28"/>
        </w:rPr>
        <w:t>1</w:t>
      </w:r>
      <w:r>
        <w:rPr>
          <w:rFonts w:eastAsia="標楷體" w:hint="eastAsia"/>
          <w:sz w:val="28"/>
        </w:rPr>
        <w:t xml:space="preserve"> </w:t>
      </w:r>
      <w:r>
        <w:rPr>
          <w:rFonts w:eastAsia="標楷體" w:hint="eastAsia"/>
          <w:sz w:val="28"/>
        </w:rPr>
        <w:t>月</w:t>
      </w:r>
      <w:r>
        <w:rPr>
          <w:rFonts w:eastAsia="標楷體" w:hint="eastAsia"/>
          <w:sz w:val="28"/>
        </w:rPr>
        <w:t xml:space="preserve"> 1 </w:t>
      </w:r>
      <w:r>
        <w:rPr>
          <w:rFonts w:eastAsia="標楷體" w:hint="eastAsia"/>
          <w:sz w:val="28"/>
        </w:rPr>
        <w:t>日起</w:t>
      </w:r>
      <w:r>
        <w:rPr>
          <w:rFonts w:eastAsia="標楷體" w:hint="eastAsia"/>
          <w:sz w:val="28"/>
        </w:rPr>
        <w:t xml:space="preserve"> </w:t>
      </w:r>
      <w:r>
        <w:rPr>
          <w:rFonts w:eastAsia="標楷體" w:hint="eastAsia"/>
          <w:sz w:val="28"/>
        </w:rPr>
        <w:t>至</w:t>
      </w:r>
      <w:r w:rsidR="00244843">
        <w:rPr>
          <w:rFonts w:eastAsia="標楷體" w:hint="eastAsia"/>
          <w:sz w:val="28"/>
        </w:rPr>
        <w:t xml:space="preserve"> 1</w:t>
      </w:r>
      <w:r w:rsidR="00A12016">
        <w:rPr>
          <w:rFonts w:eastAsia="標楷體"/>
          <w:sz w:val="28"/>
        </w:rPr>
        <w:t>1</w:t>
      </w:r>
      <w:r w:rsidR="002A23B1">
        <w:rPr>
          <w:rFonts w:eastAsia="標楷體"/>
          <w:sz w:val="28"/>
        </w:rPr>
        <w:t>1</w:t>
      </w:r>
      <w:r>
        <w:rPr>
          <w:rFonts w:eastAsia="標楷體" w:hint="eastAsia"/>
          <w:sz w:val="28"/>
        </w:rPr>
        <w:t xml:space="preserve"> </w:t>
      </w:r>
      <w:r>
        <w:rPr>
          <w:rFonts w:eastAsia="標楷體" w:hint="eastAsia"/>
          <w:sz w:val="28"/>
        </w:rPr>
        <w:t>年</w:t>
      </w:r>
      <w:r>
        <w:rPr>
          <w:rFonts w:eastAsia="標楷體" w:hint="eastAsia"/>
          <w:sz w:val="28"/>
        </w:rPr>
        <w:t xml:space="preserve"> </w:t>
      </w:r>
      <w:r w:rsidR="00911506">
        <w:rPr>
          <w:rFonts w:eastAsia="標楷體" w:hint="eastAsia"/>
          <w:sz w:val="28"/>
        </w:rPr>
        <w:t>12</w:t>
      </w:r>
      <w:r>
        <w:rPr>
          <w:rFonts w:eastAsia="標楷體" w:hint="eastAsia"/>
          <w:sz w:val="28"/>
        </w:rPr>
        <w:t xml:space="preserve"> </w:t>
      </w:r>
      <w:r>
        <w:rPr>
          <w:rFonts w:eastAsia="標楷體" w:hint="eastAsia"/>
          <w:sz w:val="28"/>
        </w:rPr>
        <w:t>月</w:t>
      </w:r>
      <w:r>
        <w:rPr>
          <w:rFonts w:eastAsia="標楷體" w:hint="eastAsia"/>
          <w:sz w:val="28"/>
        </w:rPr>
        <w:t xml:space="preserve"> 31 </w:t>
      </w:r>
      <w:r>
        <w:rPr>
          <w:rFonts w:eastAsia="標楷體" w:hint="eastAsia"/>
          <w:sz w:val="28"/>
        </w:rPr>
        <w:t>日止</w:t>
      </w:r>
    </w:p>
    <w:p w14:paraId="06F65F6B" w14:textId="77777777" w:rsidR="00AB6B8F" w:rsidRPr="002A23B1" w:rsidRDefault="00AB6B8F">
      <w:pPr>
        <w:spacing w:line="440" w:lineRule="exact"/>
        <w:jc w:val="both"/>
        <w:rPr>
          <w:rFonts w:ascii="標楷體" w:eastAsia="標楷體" w:hAnsi="標楷體"/>
          <w:color w:val="333333"/>
          <w:sz w:val="30"/>
          <w:szCs w:val="28"/>
        </w:rPr>
      </w:pPr>
    </w:p>
    <w:p w14:paraId="34B74140" w14:textId="77777777" w:rsidR="00AB6B8F" w:rsidRDefault="00AB6B8F">
      <w:pPr>
        <w:spacing w:line="440" w:lineRule="exact"/>
        <w:jc w:val="both"/>
        <w:rPr>
          <w:rFonts w:ascii="標楷體" w:eastAsia="標楷體" w:hAnsi="標楷體"/>
          <w:color w:val="333333"/>
          <w:sz w:val="30"/>
          <w:szCs w:val="28"/>
        </w:rPr>
      </w:pPr>
      <w:r>
        <w:rPr>
          <w:rFonts w:ascii="標楷體" w:eastAsia="標楷體" w:hAnsi="標楷體"/>
          <w:color w:val="333333"/>
          <w:sz w:val="30"/>
          <w:szCs w:val="28"/>
        </w:rPr>
        <w:t xml:space="preserve">計畫主持人： </w:t>
      </w:r>
      <w:r w:rsidR="00911506">
        <w:rPr>
          <w:rFonts w:ascii="標楷體" w:eastAsia="標楷體" w:hAnsi="標楷體" w:hint="eastAsia"/>
          <w:b/>
          <w:color w:val="333333"/>
          <w:sz w:val="30"/>
          <w:szCs w:val="28"/>
        </w:rPr>
        <w:t>許耀峻</w:t>
      </w:r>
      <w:r>
        <w:rPr>
          <w:rFonts w:ascii="標楷體" w:eastAsia="標楷體" w:hAnsi="標楷體"/>
          <w:color w:val="333333"/>
          <w:sz w:val="30"/>
          <w:szCs w:val="28"/>
        </w:rPr>
        <w:br/>
        <w:t>共同主持人：</w:t>
      </w:r>
      <w:r>
        <w:rPr>
          <w:rFonts w:ascii="標楷體" w:eastAsia="標楷體" w:hAnsi="標楷體"/>
          <w:color w:val="333333"/>
          <w:sz w:val="30"/>
          <w:szCs w:val="28"/>
        </w:rPr>
        <w:br/>
        <w:t xml:space="preserve">計畫參與人員： </w:t>
      </w:r>
    </w:p>
    <w:p w14:paraId="754F12B7" w14:textId="77777777" w:rsidR="00AB6B8F" w:rsidRDefault="00AB6B8F">
      <w:pPr>
        <w:spacing w:line="440" w:lineRule="exact"/>
        <w:jc w:val="both"/>
        <w:rPr>
          <w:rFonts w:ascii="標楷體" w:eastAsia="標楷體" w:hAnsi="標楷體"/>
          <w:color w:val="333333"/>
          <w:sz w:val="30"/>
          <w:szCs w:val="28"/>
        </w:rPr>
      </w:pPr>
    </w:p>
    <w:p w14:paraId="758DDA0F" w14:textId="1BC5E833" w:rsidR="00AB6B8F" w:rsidRDefault="00AB6B8F" w:rsidP="00911506">
      <w:pPr>
        <w:spacing w:line="440" w:lineRule="exact"/>
        <w:jc w:val="both"/>
        <w:rPr>
          <w:rFonts w:ascii="標楷體" w:eastAsia="標楷體" w:hAnsi="標楷體"/>
          <w:color w:val="333333"/>
          <w:sz w:val="30"/>
          <w:szCs w:val="28"/>
        </w:rPr>
      </w:pPr>
      <w:r>
        <w:rPr>
          <w:rFonts w:ascii="標楷體" w:eastAsia="標楷體" w:hAnsi="標楷體"/>
          <w:color w:val="333333"/>
          <w:sz w:val="30"/>
          <w:szCs w:val="28"/>
        </w:rPr>
        <w:t>成果報告類型：</w:t>
      </w:r>
      <w:r w:rsidR="002A23B1">
        <w:rPr>
          <w:rFonts w:ascii="標楷體" w:eastAsia="標楷體" w:hAnsi="標楷體"/>
          <w:color w:val="333333"/>
          <w:sz w:val="30"/>
          <w:szCs w:val="28"/>
        </w:rPr>
        <w:t>□</w:t>
      </w:r>
      <w:r>
        <w:rPr>
          <w:rFonts w:ascii="標楷體" w:eastAsia="標楷體" w:hAnsi="標楷體"/>
          <w:color w:val="333333"/>
          <w:sz w:val="30"/>
          <w:szCs w:val="28"/>
        </w:rPr>
        <w:t>精簡報告</w:t>
      </w:r>
      <w:r w:rsidR="002A23B1">
        <w:rPr>
          <w:rFonts w:ascii="Wingdings 2" w:hAnsi="Wingdings 2"/>
          <w:b/>
          <w:bCs/>
          <w:color w:val="000000"/>
          <w:sz w:val="40"/>
          <w:szCs w:val="72"/>
        </w:rPr>
        <w:t></w:t>
      </w:r>
      <w:r>
        <w:rPr>
          <w:rFonts w:ascii="標楷體" w:eastAsia="標楷體" w:hAnsi="標楷體"/>
          <w:color w:val="333333"/>
          <w:sz w:val="30"/>
          <w:szCs w:val="28"/>
        </w:rPr>
        <w:t>完整報告</w:t>
      </w:r>
    </w:p>
    <w:p w14:paraId="5DF35AB9" w14:textId="77777777" w:rsidR="00AB6B8F" w:rsidRDefault="00AB6B8F" w:rsidP="00911506">
      <w:pPr>
        <w:spacing w:line="440" w:lineRule="exact"/>
        <w:jc w:val="both"/>
        <w:rPr>
          <w:rFonts w:ascii="標楷體" w:eastAsia="標楷體" w:hAnsi="標楷體"/>
          <w:color w:val="333333"/>
          <w:sz w:val="30"/>
          <w:szCs w:val="28"/>
        </w:rPr>
      </w:pPr>
      <w:r>
        <w:rPr>
          <w:rFonts w:ascii="標楷體" w:eastAsia="標楷體" w:hAnsi="標楷體"/>
          <w:color w:val="333333"/>
          <w:sz w:val="30"/>
          <w:szCs w:val="28"/>
          <w:shd w:val="clear" w:color="auto" w:fill="D8D8D8"/>
        </w:rPr>
        <w:br/>
      </w:r>
    </w:p>
    <w:p w14:paraId="5BEC4CFD" w14:textId="77777777" w:rsidR="00AB6B8F" w:rsidRDefault="00AB6B8F">
      <w:pPr>
        <w:spacing w:line="440" w:lineRule="exact"/>
        <w:jc w:val="both"/>
        <w:rPr>
          <w:rFonts w:ascii="標楷體" w:eastAsia="標楷體" w:hAnsi="標楷體"/>
          <w:color w:val="333333"/>
          <w:sz w:val="30"/>
          <w:szCs w:val="28"/>
        </w:rPr>
      </w:pPr>
    </w:p>
    <w:p w14:paraId="13526153" w14:textId="727E2CE5" w:rsidR="00AB6B8F" w:rsidRDefault="00AB6B8F" w:rsidP="00911506">
      <w:pPr>
        <w:spacing w:line="440" w:lineRule="exact"/>
        <w:ind w:left="1500" w:hanging="1500"/>
        <w:rPr>
          <w:rFonts w:ascii="標楷體" w:eastAsia="標楷體" w:hAnsi="標楷體"/>
          <w:color w:val="333333"/>
          <w:sz w:val="30"/>
          <w:szCs w:val="28"/>
        </w:rPr>
      </w:pPr>
      <w:r>
        <w:rPr>
          <w:rFonts w:ascii="標楷體" w:eastAsia="標楷體" w:hAnsi="標楷體"/>
          <w:color w:val="333333"/>
          <w:sz w:val="30"/>
          <w:szCs w:val="28"/>
        </w:rPr>
        <w:t>處理方式：</w:t>
      </w:r>
      <w:r w:rsidR="00A32D23">
        <w:rPr>
          <w:rFonts w:ascii="標楷體" w:eastAsia="標楷體" w:hAnsi="標楷體"/>
          <w:color w:val="333333"/>
          <w:sz w:val="30"/>
          <w:szCs w:val="28"/>
        </w:rPr>
        <w:t>□</w:t>
      </w:r>
      <w:r>
        <w:rPr>
          <w:rFonts w:ascii="標楷體" w:eastAsia="標楷體" w:hAnsi="標楷體"/>
          <w:color w:val="333333"/>
          <w:sz w:val="30"/>
          <w:szCs w:val="28"/>
        </w:rPr>
        <w:t>可公開查詢</w:t>
      </w:r>
    </w:p>
    <w:p w14:paraId="5A6C77B4" w14:textId="77777777" w:rsidR="00C62DAD" w:rsidRDefault="00C62DAD">
      <w:pPr>
        <w:spacing w:line="440" w:lineRule="exact"/>
        <w:jc w:val="both"/>
        <w:rPr>
          <w:rFonts w:ascii="標楷體" w:eastAsia="標楷體" w:hAnsi="標楷體"/>
          <w:color w:val="333333"/>
          <w:sz w:val="30"/>
          <w:szCs w:val="28"/>
        </w:rPr>
      </w:pPr>
    </w:p>
    <w:p w14:paraId="0E392A55" w14:textId="77777777" w:rsidR="00AB6B8F" w:rsidRDefault="00AB6B8F">
      <w:pPr>
        <w:spacing w:line="440" w:lineRule="exact"/>
        <w:jc w:val="both"/>
        <w:rPr>
          <w:rFonts w:ascii="標楷體" w:eastAsia="標楷體" w:hAnsi="標楷體"/>
          <w:color w:val="333333"/>
          <w:sz w:val="30"/>
          <w:szCs w:val="28"/>
        </w:rPr>
      </w:pPr>
      <w:r>
        <w:rPr>
          <w:rFonts w:ascii="標楷體" w:eastAsia="標楷體" w:hAnsi="標楷體"/>
          <w:color w:val="333333"/>
          <w:sz w:val="30"/>
          <w:szCs w:val="28"/>
        </w:rPr>
        <w:t xml:space="preserve">         </w:t>
      </w:r>
    </w:p>
    <w:p w14:paraId="4219AE9C" w14:textId="40135169" w:rsidR="00AB6B8F" w:rsidRDefault="00AB6B8F">
      <w:pPr>
        <w:spacing w:line="440" w:lineRule="exact"/>
        <w:jc w:val="both"/>
        <w:rPr>
          <w:rFonts w:ascii="標楷體" w:eastAsia="標楷體" w:hAnsi="標楷體"/>
          <w:color w:val="333333"/>
          <w:sz w:val="30"/>
          <w:szCs w:val="28"/>
        </w:rPr>
      </w:pPr>
      <w:r>
        <w:rPr>
          <w:rFonts w:ascii="標楷體" w:eastAsia="標楷體" w:hAnsi="標楷體"/>
          <w:color w:val="333333"/>
          <w:sz w:val="30"/>
          <w:szCs w:val="28"/>
        </w:rPr>
        <w:t>執行單位：</w:t>
      </w:r>
      <w:r w:rsidR="00AC38A6">
        <w:rPr>
          <w:rFonts w:ascii="標楷體" w:eastAsia="標楷體" w:hAnsi="標楷體" w:hint="eastAsia"/>
          <w:color w:val="333333"/>
          <w:sz w:val="30"/>
          <w:szCs w:val="28"/>
        </w:rPr>
        <w:t>義守</w:t>
      </w:r>
      <w:r w:rsidR="006D048D">
        <w:rPr>
          <w:rFonts w:ascii="標楷體" w:eastAsia="標楷體" w:hAnsi="標楷體" w:hint="eastAsia"/>
          <w:color w:val="333333"/>
          <w:sz w:val="30"/>
          <w:szCs w:val="28"/>
        </w:rPr>
        <w:t>大</w:t>
      </w:r>
      <w:r w:rsidR="009C2E40">
        <w:rPr>
          <w:rFonts w:ascii="標楷體" w:eastAsia="標楷體" w:hAnsi="標楷體" w:hint="eastAsia"/>
          <w:color w:val="333333"/>
          <w:sz w:val="30"/>
          <w:szCs w:val="28"/>
        </w:rPr>
        <w:t>學</w:t>
      </w:r>
      <w:r w:rsidR="002A23B1">
        <w:rPr>
          <w:rFonts w:ascii="標楷體" w:eastAsia="標楷體" w:hAnsi="標楷體" w:hint="eastAsia"/>
          <w:color w:val="333333"/>
          <w:sz w:val="30"/>
          <w:szCs w:val="28"/>
        </w:rPr>
        <w:t>醫學研究所</w:t>
      </w:r>
      <w:r w:rsidR="009C2E40">
        <w:rPr>
          <w:rFonts w:ascii="標楷體" w:eastAsia="標楷體" w:hAnsi="標楷體" w:hint="eastAsia"/>
          <w:color w:val="333333"/>
          <w:sz w:val="30"/>
          <w:szCs w:val="28"/>
        </w:rPr>
        <w:t>及</w:t>
      </w:r>
      <w:r w:rsidR="00AC38A6">
        <w:rPr>
          <w:rFonts w:ascii="標楷體" w:eastAsia="標楷體" w:hAnsi="標楷體" w:hint="eastAsia"/>
          <w:color w:val="333333"/>
          <w:sz w:val="30"/>
          <w:szCs w:val="28"/>
        </w:rPr>
        <w:t>義大</w:t>
      </w:r>
      <w:r w:rsidR="009C2E40">
        <w:rPr>
          <w:rFonts w:ascii="標楷體" w:eastAsia="標楷體" w:hAnsi="標楷體" w:hint="eastAsia"/>
          <w:color w:val="333333"/>
          <w:sz w:val="30"/>
          <w:szCs w:val="28"/>
        </w:rPr>
        <w:t>醫</w:t>
      </w:r>
      <w:r w:rsidR="006D048D">
        <w:rPr>
          <w:rFonts w:ascii="標楷體" w:eastAsia="標楷體" w:hAnsi="標楷體" w:hint="eastAsia"/>
          <w:color w:val="333333"/>
          <w:sz w:val="30"/>
          <w:szCs w:val="28"/>
        </w:rPr>
        <w:t>院</w:t>
      </w:r>
      <w:r w:rsidR="002A23B1">
        <w:rPr>
          <w:rFonts w:ascii="標楷體" w:eastAsia="標楷體" w:hAnsi="標楷體" w:hint="eastAsia"/>
          <w:color w:val="333333"/>
          <w:sz w:val="30"/>
          <w:szCs w:val="28"/>
        </w:rPr>
        <w:t>醫學研究部</w:t>
      </w:r>
    </w:p>
    <w:p w14:paraId="6E4C6532" w14:textId="77777777" w:rsidR="00CA1BFA" w:rsidRPr="009C2E40" w:rsidRDefault="00CA1BFA">
      <w:pPr>
        <w:spacing w:line="440" w:lineRule="exact"/>
        <w:jc w:val="both"/>
        <w:rPr>
          <w:rFonts w:ascii="標楷體" w:eastAsia="標楷體" w:hAnsi="標楷體"/>
          <w:color w:val="333333"/>
          <w:sz w:val="30"/>
          <w:szCs w:val="28"/>
        </w:rPr>
      </w:pPr>
    </w:p>
    <w:p w14:paraId="03D316CB" w14:textId="77777777" w:rsidR="00AB6B8F" w:rsidRDefault="00AB6B8F">
      <w:pPr>
        <w:spacing w:line="440" w:lineRule="exact"/>
        <w:jc w:val="center"/>
        <w:rPr>
          <w:rFonts w:ascii="標楷體" w:eastAsia="標楷體" w:hAnsi="標楷體"/>
          <w:color w:val="333333"/>
          <w:sz w:val="30"/>
          <w:szCs w:val="28"/>
        </w:rPr>
      </w:pPr>
    </w:p>
    <w:p w14:paraId="541E2550" w14:textId="77777777" w:rsidR="00911506" w:rsidRPr="00235321" w:rsidRDefault="00911506">
      <w:pPr>
        <w:spacing w:line="440" w:lineRule="exact"/>
        <w:jc w:val="center"/>
        <w:rPr>
          <w:rFonts w:ascii="標楷體" w:eastAsia="標楷體" w:hAnsi="標楷體"/>
          <w:color w:val="333333"/>
          <w:sz w:val="30"/>
          <w:szCs w:val="28"/>
        </w:rPr>
      </w:pPr>
    </w:p>
    <w:p w14:paraId="238A576A" w14:textId="77777777" w:rsidR="00570994" w:rsidRDefault="00570994" w:rsidP="00235321">
      <w:pPr>
        <w:spacing w:line="480" w:lineRule="auto"/>
        <w:jc w:val="center"/>
        <w:outlineLvl w:val="0"/>
        <w:rPr>
          <w:b/>
          <w:color w:val="000000"/>
          <w:sz w:val="28"/>
        </w:rPr>
        <w:sectPr w:rsidR="00570994">
          <w:pgSz w:w="11906" w:h="16838"/>
          <w:pgMar w:top="1440" w:right="1800" w:bottom="1440" w:left="1800" w:header="851" w:footer="992" w:gutter="0"/>
          <w:cols w:space="425"/>
          <w:docGrid w:type="lines" w:linePitch="360"/>
        </w:sectPr>
      </w:pPr>
    </w:p>
    <w:p w14:paraId="0D483FD3" w14:textId="369BBD59" w:rsidR="00235321" w:rsidRPr="002A23B1" w:rsidRDefault="002A23B1" w:rsidP="00235321">
      <w:pPr>
        <w:spacing w:line="480" w:lineRule="auto"/>
        <w:jc w:val="center"/>
        <w:outlineLvl w:val="0"/>
        <w:rPr>
          <w:b/>
          <w:color w:val="000000"/>
          <w:szCs w:val="22"/>
        </w:rPr>
      </w:pPr>
      <w:r w:rsidRPr="002A23B1">
        <w:rPr>
          <w:b/>
          <w:color w:val="000000"/>
          <w:szCs w:val="22"/>
        </w:rPr>
        <w:lastRenderedPageBreak/>
        <w:t>Dynamic Measurement of Hepatitis B Core-related Antigen After Cessation of Nucleos(t)ide Analogues to Predict Subsequent Clinical Relapse</w:t>
      </w:r>
    </w:p>
    <w:p w14:paraId="27C52B9D" w14:textId="77777777" w:rsidR="002E57B0" w:rsidRPr="002E57B0" w:rsidRDefault="002E57B0" w:rsidP="00570994">
      <w:pPr>
        <w:spacing w:line="480" w:lineRule="auto"/>
        <w:jc w:val="right"/>
        <w:rPr>
          <w:szCs w:val="22"/>
          <w:lang w:val="en-GB"/>
        </w:rPr>
      </w:pPr>
    </w:p>
    <w:p w14:paraId="5226F515" w14:textId="77777777" w:rsidR="002E57B0" w:rsidRPr="002E57B0" w:rsidRDefault="002E57B0" w:rsidP="002E57B0">
      <w:pPr>
        <w:spacing w:line="480" w:lineRule="auto"/>
        <w:rPr>
          <w:szCs w:val="22"/>
          <w:lang w:val="en-GB"/>
        </w:rPr>
      </w:pPr>
    </w:p>
    <w:p w14:paraId="3B9518AC" w14:textId="785CF47D" w:rsidR="00467DF5" w:rsidRPr="00467DF5" w:rsidRDefault="00235321" w:rsidP="00A32D23">
      <w:pPr>
        <w:spacing w:line="480" w:lineRule="auto"/>
        <w:jc w:val="center"/>
        <w:rPr>
          <w:bCs/>
          <w:szCs w:val="22"/>
        </w:rPr>
      </w:pPr>
      <w:r>
        <w:rPr>
          <w:rFonts w:hint="eastAsia"/>
          <w:bCs/>
          <w:szCs w:val="22"/>
        </w:rPr>
        <w:t xml:space="preserve">Reported by </w:t>
      </w:r>
      <w:r w:rsidR="00467DF5" w:rsidRPr="00235321">
        <w:rPr>
          <w:bCs/>
          <w:szCs w:val="22"/>
          <w:u w:val="single"/>
        </w:rPr>
        <w:t>Yao-Chun Hsu</w:t>
      </w:r>
      <w:r w:rsidR="00715928">
        <w:rPr>
          <w:bCs/>
          <w:szCs w:val="22"/>
          <w:vertAlign w:val="superscript"/>
        </w:rPr>
        <w:t>1-</w:t>
      </w:r>
      <w:r w:rsidR="00A32D23">
        <w:rPr>
          <w:bCs/>
          <w:szCs w:val="22"/>
          <w:vertAlign w:val="superscript"/>
        </w:rPr>
        <w:t>2</w:t>
      </w:r>
    </w:p>
    <w:p w14:paraId="61E0437E" w14:textId="3200D0C4" w:rsidR="00467DF5" w:rsidRDefault="00467DF5" w:rsidP="00A32D23">
      <w:pPr>
        <w:spacing w:line="480" w:lineRule="auto"/>
        <w:jc w:val="center"/>
        <w:rPr>
          <w:bCs/>
          <w:szCs w:val="22"/>
        </w:rPr>
      </w:pPr>
      <w:r w:rsidRPr="00467DF5">
        <w:rPr>
          <w:bCs/>
          <w:szCs w:val="22"/>
          <w:vertAlign w:val="superscript"/>
        </w:rPr>
        <w:t>1</w:t>
      </w:r>
      <w:r w:rsidR="002A23B1">
        <w:rPr>
          <w:rFonts w:hint="eastAsia"/>
          <w:bCs/>
          <w:szCs w:val="22"/>
        </w:rPr>
        <w:t>Gr</w:t>
      </w:r>
      <w:r w:rsidR="002A23B1">
        <w:rPr>
          <w:bCs/>
          <w:szCs w:val="22"/>
        </w:rPr>
        <w:t xml:space="preserve">aduate Institute and </w:t>
      </w:r>
      <w:r w:rsidR="002A23B1">
        <w:rPr>
          <w:rFonts w:hint="eastAsia"/>
          <w:bCs/>
          <w:szCs w:val="22"/>
        </w:rPr>
        <w:t>S</w:t>
      </w:r>
      <w:r w:rsidR="009C2E40" w:rsidRPr="009C2E40">
        <w:rPr>
          <w:bCs/>
          <w:szCs w:val="22"/>
        </w:rPr>
        <w:t xml:space="preserve">chool of Medicine, </w:t>
      </w:r>
      <w:r w:rsidR="00AC38A6">
        <w:rPr>
          <w:rFonts w:hint="eastAsia"/>
          <w:bCs/>
          <w:szCs w:val="22"/>
        </w:rPr>
        <w:t>I</w:t>
      </w:r>
      <w:r w:rsidR="00AC38A6">
        <w:rPr>
          <w:bCs/>
          <w:szCs w:val="22"/>
        </w:rPr>
        <w:t>-</w:t>
      </w:r>
      <w:r w:rsidR="00AC38A6">
        <w:rPr>
          <w:rFonts w:hint="eastAsia"/>
          <w:bCs/>
          <w:szCs w:val="22"/>
        </w:rPr>
        <w:t>S</w:t>
      </w:r>
      <w:r w:rsidR="00AC38A6">
        <w:rPr>
          <w:bCs/>
          <w:szCs w:val="22"/>
        </w:rPr>
        <w:t>hou University, Kaohsiung</w:t>
      </w:r>
      <w:r w:rsidR="009C2E40" w:rsidRPr="009C2E40">
        <w:rPr>
          <w:bCs/>
          <w:szCs w:val="22"/>
        </w:rPr>
        <w:t>, Taiwan</w:t>
      </w:r>
      <w:r w:rsidR="00AC38A6">
        <w:rPr>
          <w:bCs/>
          <w:szCs w:val="22"/>
        </w:rPr>
        <w:t>;</w:t>
      </w:r>
    </w:p>
    <w:p w14:paraId="14A52F71" w14:textId="1EBADC57" w:rsidR="00467DF5" w:rsidRPr="00A32D23" w:rsidRDefault="009C2E40" w:rsidP="00A32D23">
      <w:pPr>
        <w:spacing w:line="480" w:lineRule="auto"/>
        <w:jc w:val="center"/>
        <w:rPr>
          <w:bCs/>
          <w:szCs w:val="22"/>
        </w:rPr>
      </w:pPr>
      <w:r w:rsidRPr="009C2E40">
        <w:rPr>
          <w:rFonts w:hint="eastAsia"/>
          <w:bCs/>
          <w:szCs w:val="22"/>
          <w:vertAlign w:val="superscript"/>
        </w:rPr>
        <w:t>2</w:t>
      </w:r>
      <w:r w:rsidR="002A23B1">
        <w:rPr>
          <w:bCs/>
          <w:szCs w:val="22"/>
        </w:rPr>
        <w:t>Department of Medical Research and C</w:t>
      </w:r>
      <w:r w:rsidR="00AC38A6">
        <w:rPr>
          <w:bCs/>
          <w:szCs w:val="22"/>
        </w:rPr>
        <w:t>enter for Liver Diseases, E-Da Hospital, Kaohsiung, Taiwan;</w:t>
      </w:r>
    </w:p>
    <w:p w14:paraId="2019B4EE" w14:textId="77777777" w:rsidR="00235321" w:rsidRPr="009C2E40" w:rsidRDefault="00235321" w:rsidP="00235321">
      <w:pPr>
        <w:spacing w:line="480" w:lineRule="auto"/>
        <w:rPr>
          <w:szCs w:val="22"/>
        </w:rPr>
      </w:pPr>
    </w:p>
    <w:p w14:paraId="153ECEC1" w14:textId="77777777" w:rsidR="00CB4E14" w:rsidRPr="00235321" w:rsidRDefault="00CB4E14" w:rsidP="00467DF5">
      <w:pPr>
        <w:spacing w:line="480" w:lineRule="auto"/>
        <w:rPr>
          <w:szCs w:val="22"/>
          <w:lang w:val="en-GB"/>
        </w:rPr>
      </w:pPr>
    </w:p>
    <w:p w14:paraId="6461BD9D" w14:textId="77777777" w:rsidR="00235321" w:rsidRPr="00715928" w:rsidRDefault="00235321" w:rsidP="00467DF5">
      <w:pPr>
        <w:spacing w:line="480" w:lineRule="auto"/>
        <w:rPr>
          <w:szCs w:val="22"/>
        </w:rPr>
      </w:pPr>
    </w:p>
    <w:p w14:paraId="14B417F7" w14:textId="77777777" w:rsidR="00235321" w:rsidRPr="00715928" w:rsidRDefault="00235321" w:rsidP="002E57B0">
      <w:pPr>
        <w:spacing w:line="480" w:lineRule="auto"/>
        <w:rPr>
          <w:szCs w:val="22"/>
          <w:lang w:val="en-GB"/>
        </w:rPr>
      </w:pPr>
    </w:p>
    <w:p w14:paraId="5C080FBB" w14:textId="77777777" w:rsidR="00570994" w:rsidRPr="00715928" w:rsidRDefault="00570994" w:rsidP="00235321">
      <w:pPr>
        <w:snapToGrid w:val="0"/>
        <w:spacing w:line="480" w:lineRule="auto"/>
        <w:jc w:val="both"/>
        <w:sectPr w:rsidR="00570994" w:rsidRPr="00715928">
          <w:pgSz w:w="11906" w:h="16838"/>
          <w:pgMar w:top="1440" w:right="1800" w:bottom="1440" w:left="1800" w:header="851" w:footer="992" w:gutter="0"/>
          <w:cols w:space="425"/>
          <w:docGrid w:type="lines" w:linePitch="360"/>
        </w:sectPr>
      </w:pPr>
    </w:p>
    <w:p w14:paraId="4ED4CA20" w14:textId="4A60DADC" w:rsidR="0090707A" w:rsidRPr="009E2CD8" w:rsidRDefault="0090707A" w:rsidP="00570994">
      <w:pPr>
        <w:suppressAutoHyphens/>
        <w:spacing w:line="480" w:lineRule="auto"/>
        <w:jc w:val="both"/>
        <w:rPr>
          <w:rFonts w:ascii="標楷體" w:eastAsia="標楷體" w:hAnsi="標楷體"/>
          <w:b/>
          <w:bCs/>
          <w:kern w:val="24"/>
          <w:szCs w:val="22"/>
        </w:rPr>
      </w:pPr>
      <w:r w:rsidRPr="009E2CD8">
        <w:rPr>
          <w:rFonts w:ascii="標楷體" w:eastAsia="標楷體" w:hAnsi="標楷體" w:hint="eastAsia"/>
          <w:b/>
          <w:bCs/>
          <w:kern w:val="24"/>
          <w:szCs w:val="22"/>
        </w:rPr>
        <w:lastRenderedPageBreak/>
        <w:t>中文摘要</w:t>
      </w:r>
    </w:p>
    <w:p w14:paraId="2D717873" w14:textId="0A821B3D" w:rsidR="0090707A" w:rsidRPr="009E2CD8" w:rsidRDefault="0090707A" w:rsidP="009E2CD8">
      <w:pPr>
        <w:suppressAutoHyphens/>
        <w:spacing w:line="480" w:lineRule="auto"/>
        <w:jc w:val="both"/>
        <w:rPr>
          <w:rFonts w:ascii="標楷體" w:eastAsia="標楷體" w:hAnsi="標楷體"/>
          <w:kern w:val="24"/>
          <w:szCs w:val="22"/>
        </w:rPr>
      </w:pPr>
      <w:r w:rsidRPr="009E2CD8">
        <w:rPr>
          <w:rFonts w:ascii="標楷體" w:eastAsia="標楷體" w:hAnsi="標楷體" w:hint="eastAsia"/>
          <w:b/>
          <w:bCs/>
          <w:kern w:val="24"/>
          <w:szCs w:val="22"/>
        </w:rPr>
        <w:t>背景：</w:t>
      </w:r>
      <w:r w:rsidRPr="009E2CD8">
        <w:rPr>
          <w:rFonts w:ascii="標楷體" w:eastAsia="標楷體" w:hAnsi="標楷體" w:hint="eastAsia"/>
          <w:kern w:val="24"/>
          <w:szCs w:val="22"/>
        </w:rPr>
        <w:t>核苷</w:t>
      </w:r>
      <w:r w:rsidRPr="009E2CD8">
        <w:rPr>
          <w:rFonts w:ascii="標楷體" w:eastAsia="標楷體" w:hAnsi="標楷體"/>
          <w:kern w:val="24"/>
          <w:szCs w:val="22"/>
        </w:rPr>
        <w:t>(</w:t>
      </w:r>
      <w:r w:rsidRPr="009E2CD8">
        <w:rPr>
          <w:rFonts w:ascii="標楷體" w:eastAsia="標楷體" w:hAnsi="標楷體" w:hint="eastAsia"/>
          <w:kern w:val="24"/>
          <w:szCs w:val="22"/>
        </w:rPr>
        <w:t>酸</w:t>
      </w:r>
      <w:r w:rsidRPr="009E2CD8">
        <w:rPr>
          <w:rFonts w:ascii="標楷體" w:eastAsia="標楷體" w:hAnsi="標楷體"/>
          <w:kern w:val="24"/>
          <w:szCs w:val="22"/>
        </w:rPr>
        <w:t>)</w:t>
      </w:r>
      <w:r w:rsidRPr="009E2CD8">
        <w:rPr>
          <w:rFonts w:ascii="標楷體" w:eastAsia="標楷體" w:hAnsi="標楷體" w:hint="eastAsia"/>
          <w:kern w:val="24"/>
          <w:szCs w:val="22"/>
        </w:rPr>
        <w:t>類似物</w:t>
      </w:r>
      <w:r w:rsidRPr="009E2CD8">
        <w:rPr>
          <w:rFonts w:ascii="標楷體" w:eastAsia="標楷體" w:hAnsi="標楷體" w:hint="eastAsia"/>
          <w:kern w:val="24"/>
          <w:szCs w:val="22"/>
        </w:rPr>
        <w:t>固定</w:t>
      </w:r>
      <w:r w:rsidRPr="009E2CD8">
        <w:rPr>
          <w:rFonts w:ascii="標楷體" w:eastAsia="標楷體" w:hAnsi="標楷體" w:hint="eastAsia"/>
          <w:kern w:val="24"/>
          <w:szCs w:val="22"/>
        </w:rPr>
        <w:t>療</w:t>
      </w:r>
      <w:r w:rsidRPr="009E2CD8">
        <w:rPr>
          <w:rFonts w:ascii="標楷體" w:eastAsia="標楷體" w:hAnsi="標楷體" w:hint="eastAsia"/>
          <w:kern w:val="24"/>
          <w:szCs w:val="22"/>
        </w:rPr>
        <w:t>程</w:t>
      </w:r>
      <w:r w:rsidRPr="009E2CD8">
        <w:rPr>
          <w:rFonts w:ascii="標楷體" w:eastAsia="標楷體" w:hAnsi="標楷體" w:hint="eastAsia"/>
          <w:kern w:val="24"/>
          <w:szCs w:val="22"/>
        </w:rPr>
        <w:t>被提議作為慢性</w:t>
      </w:r>
      <w:r w:rsidRPr="009E2CD8">
        <w:rPr>
          <w:rFonts w:ascii="標楷體" w:eastAsia="標楷體" w:hAnsi="標楷體"/>
          <w:kern w:val="24"/>
          <w:szCs w:val="22"/>
        </w:rPr>
        <w:t>B</w:t>
      </w:r>
      <w:r w:rsidRPr="009E2CD8">
        <w:rPr>
          <w:rFonts w:ascii="標楷體" w:eastAsia="標楷體" w:hAnsi="標楷體" w:hint="eastAsia"/>
          <w:kern w:val="24"/>
          <w:szCs w:val="22"/>
        </w:rPr>
        <w:t>型肝炎的治療策略，但</w:t>
      </w:r>
      <w:r w:rsidRPr="009E2CD8">
        <w:rPr>
          <w:rFonts w:ascii="標楷體" w:eastAsia="標楷體" w:hAnsi="標楷體" w:hint="eastAsia"/>
          <w:kern w:val="24"/>
          <w:szCs w:val="22"/>
        </w:rPr>
        <w:t>監測</w:t>
      </w:r>
      <w:r w:rsidRPr="009E2CD8">
        <w:rPr>
          <w:rFonts w:ascii="標楷體" w:eastAsia="標楷體" w:hAnsi="標楷體" w:hint="eastAsia"/>
          <w:kern w:val="24"/>
          <w:szCs w:val="22"/>
        </w:rPr>
        <w:t>治療後</w:t>
      </w:r>
      <w:r w:rsidRPr="009E2CD8">
        <w:rPr>
          <w:rFonts w:ascii="標楷體" w:eastAsia="標楷體" w:hAnsi="標楷體" w:hint="eastAsia"/>
          <w:kern w:val="24"/>
          <w:szCs w:val="22"/>
        </w:rPr>
        <w:t>反應的</w:t>
      </w:r>
      <w:r w:rsidRPr="009E2CD8">
        <w:rPr>
          <w:rFonts w:ascii="標楷體" w:eastAsia="標楷體" w:hAnsi="標楷體" w:hint="eastAsia"/>
          <w:kern w:val="24"/>
          <w:szCs w:val="22"/>
        </w:rPr>
        <w:t>生物標誌物</w:t>
      </w:r>
      <w:r w:rsidRPr="009E2CD8">
        <w:rPr>
          <w:rFonts w:ascii="標楷體" w:eastAsia="標楷體" w:hAnsi="標楷體" w:hint="eastAsia"/>
          <w:kern w:val="24"/>
          <w:szCs w:val="22"/>
        </w:rPr>
        <w:t>仍很</w:t>
      </w:r>
      <w:r w:rsidRPr="009E2CD8">
        <w:rPr>
          <w:rFonts w:ascii="標楷體" w:eastAsia="標楷體" w:hAnsi="標楷體" w:hint="eastAsia"/>
          <w:kern w:val="24"/>
          <w:szCs w:val="22"/>
        </w:rPr>
        <w:t>有限。</w:t>
      </w:r>
    </w:p>
    <w:p w14:paraId="75269DA7" w14:textId="4B5861BF" w:rsidR="0090707A" w:rsidRPr="009E2CD8" w:rsidRDefault="0090707A" w:rsidP="009E2CD8">
      <w:pPr>
        <w:suppressAutoHyphens/>
        <w:spacing w:line="480" w:lineRule="auto"/>
        <w:jc w:val="both"/>
        <w:rPr>
          <w:rFonts w:ascii="標楷體" w:eastAsia="標楷體" w:hAnsi="標楷體" w:hint="eastAsia"/>
          <w:kern w:val="24"/>
          <w:szCs w:val="22"/>
        </w:rPr>
      </w:pPr>
      <w:r w:rsidRPr="009E2CD8">
        <w:rPr>
          <w:rFonts w:ascii="標楷體" w:eastAsia="標楷體" w:hAnsi="標楷體" w:hint="eastAsia"/>
          <w:b/>
          <w:bCs/>
          <w:kern w:val="24"/>
          <w:szCs w:val="22"/>
        </w:rPr>
        <w:t>目的：</w:t>
      </w:r>
      <w:r w:rsidRPr="009E2CD8">
        <w:rPr>
          <w:rFonts w:ascii="標楷體" w:eastAsia="標楷體" w:hAnsi="標楷體" w:hint="eastAsia"/>
          <w:kern w:val="24"/>
          <w:szCs w:val="22"/>
        </w:rPr>
        <w:t>我們研究了治療後測量</w:t>
      </w:r>
      <w:r w:rsidRPr="009E2CD8">
        <w:rPr>
          <w:rFonts w:ascii="標楷體" w:eastAsia="標楷體" w:hAnsi="標楷體" w:hint="eastAsia"/>
          <w:kern w:val="24"/>
          <w:szCs w:val="22"/>
        </w:rPr>
        <w:t>B</w:t>
      </w:r>
      <w:r w:rsidRPr="009E2CD8">
        <w:rPr>
          <w:rFonts w:ascii="標楷體" w:eastAsia="標楷體" w:hAnsi="標楷體" w:hint="eastAsia"/>
          <w:kern w:val="24"/>
          <w:szCs w:val="22"/>
        </w:rPr>
        <w:t>型肝炎核心相關抗原(</w:t>
      </w:r>
      <w:proofErr w:type="spellStart"/>
      <w:r w:rsidRPr="009E2CD8">
        <w:rPr>
          <w:rFonts w:ascii="標楷體" w:eastAsia="標楷體" w:hAnsi="標楷體" w:hint="eastAsia"/>
          <w:kern w:val="24"/>
          <w:szCs w:val="22"/>
        </w:rPr>
        <w:t>HBcrAg</w:t>
      </w:r>
      <w:proofErr w:type="spellEnd"/>
      <w:r w:rsidRPr="009E2CD8">
        <w:rPr>
          <w:rFonts w:ascii="標楷體" w:eastAsia="標楷體" w:hAnsi="標楷體" w:hint="eastAsia"/>
          <w:kern w:val="24"/>
          <w:szCs w:val="22"/>
        </w:rPr>
        <w:t>)</w:t>
      </w:r>
      <w:r w:rsidRPr="009E2CD8">
        <w:rPr>
          <w:rFonts w:ascii="標楷體" w:eastAsia="標楷體" w:hAnsi="標楷體" w:hint="eastAsia"/>
          <w:kern w:val="24"/>
          <w:szCs w:val="22"/>
        </w:rPr>
        <w:t>的動態測量</w:t>
      </w:r>
      <w:r w:rsidRPr="009E2CD8">
        <w:rPr>
          <w:rFonts w:ascii="標楷體" w:eastAsia="標楷體" w:hAnsi="標楷體" w:hint="eastAsia"/>
          <w:kern w:val="24"/>
          <w:szCs w:val="22"/>
        </w:rPr>
        <w:t>是否可以</w:t>
      </w:r>
      <w:r w:rsidRPr="009E2CD8">
        <w:rPr>
          <w:rFonts w:ascii="標楷體" w:eastAsia="標楷體" w:hAnsi="標楷體" w:hint="eastAsia"/>
          <w:kern w:val="24"/>
          <w:szCs w:val="22"/>
        </w:rPr>
        <w:t>預測</w:t>
      </w:r>
      <w:r w:rsidRPr="009E2CD8">
        <w:rPr>
          <w:rFonts w:ascii="標楷體" w:eastAsia="標楷體" w:hAnsi="標楷體" w:hint="eastAsia"/>
          <w:kern w:val="24"/>
          <w:szCs w:val="22"/>
        </w:rPr>
        <w:t>後續臨床復發風險。</w:t>
      </w:r>
    </w:p>
    <w:p w14:paraId="657B139D" w14:textId="34C8519C" w:rsidR="0090707A" w:rsidRPr="009E2CD8" w:rsidRDefault="0090707A" w:rsidP="009E2CD8">
      <w:pPr>
        <w:suppressAutoHyphens/>
        <w:spacing w:line="480" w:lineRule="auto"/>
        <w:jc w:val="both"/>
        <w:rPr>
          <w:rFonts w:ascii="標楷體" w:eastAsia="標楷體" w:hAnsi="標楷體"/>
          <w:kern w:val="24"/>
          <w:szCs w:val="22"/>
        </w:rPr>
      </w:pPr>
      <w:r w:rsidRPr="009E2CD8">
        <w:rPr>
          <w:rFonts w:ascii="標楷體" w:eastAsia="標楷體" w:hAnsi="標楷體" w:hint="eastAsia"/>
          <w:b/>
          <w:bCs/>
          <w:kern w:val="24"/>
          <w:szCs w:val="22"/>
        </w:rPr>
        <w:t>方法：</w:t>
      </w:r>
      <w:r w:rsidRPr="009E2CD8">
        <w:rPr>
          <w:rFonts w:ascii="標楷體" w:eastAsia="標楷體" w:hAnsi="標楷體" w:hint="eastAsia"/>
          <w:kern w:val="24"/>
          <w:szCs w:val="22"/>
        </w:rPr>
        <w:t>此為</w:t>
      </w:r>
      <w:r w:rsidRPr="009E2CD8">
        <w:rPr>
          <w:rFonts w:ascii="標楷體" w:eastAsia="標楷體" w:hAnsi="標楷體" w:hint="eastAsia"/>
          <w:kern w:val="24"/>
          <w:szCs w:val="22"/>
        </w:rPr>
        <w:t>多中心</w:t>
      </w:r>
      <w:r w:rsidRPr="009E2CD8">
        <w:rPr>
          <w:rFonts w:ascii="標楷體" w:eastAsia="標楷體" w:hAnsi="標楷體" w:hint="eastAsia"/>
          <w:kern w:val="24"/>
          <w:szCs w:val="22"/>
        </w:rPr>
        <w:t>回溯研究，</w:t>
      </w:r>
      <w:r w:rsidRPr="009E2CD8">
        <w:rPr>
          <w:rFonts w:ascii="標楷體" w:eastAsia="標楷體" w:hAnsi="標楷體" w:hint="eastAsia"/>
          <w:kern w:val="24"/>
          <w:szCs w:val="22"/>
        </w:rPr>
        <w:t>分析納入了停用</w:t>
      </w:r>
      <w:r w:rsidRPr="009E2CD8">
        <w:rPr>
          <w:rFonts w:ascii="標楷體" w:eastAsia="標楷體" w:hAnsi="標楷體"/>
          <w:kern w:val="24"/>
          <w:szCs w:val="22"/>
        </w:rPr>
        <w:t>entecavir</w:t>
      </w:r>
      <w:r w:rsidRPr="009E2CD8">
        <w:rPr>
          <w:rFonts w:ascii="標楷體" w:eastAsia="標楷體" w:hAnsi="標楷體" w:hint="eastAsia"/>
          <w:kern w:val="24"/>
          <w:szCs w:val="22"/>
        </w:rPr>
        <w:t>或</w:t>
      </w:r>
      <w:r w:rsidRPr="009E2CD8">
        <w:rPr>
          <w:rFonts w:ascii="標楷體" w:eastAsia="標楷體" w:hAnsi="標楷體"/>
          <w:kern w:val="24"/>
          <w:szCs w:val="22"/>
        </w:rPr>
        <w:t>tenofovir</w:t>
      </w:r>
      <w:r w:rsidRPr="009E2CD8">
        <w:rPr>
          <w:rFonts w:ascii="標楷體" w:eastAsia="標楷體" w:hAnsi="標楷體" w:hint="eastAsia"/>
          <w:kern w:val="24"/>
          <w:szCs w:val="22"/>
        </w:rPr>
        <w:t>後</w:t>
      </w:r>
      <w:r w:rsidRPr="009E2CD8">
        <w:rPr>
          <w:rFonts w:ascii="標楷體" w:eastAsia="標楷體" w:hAnsi="標楷體" w:hint="eastAsia"/>
          <w:kern w:val="24"/>
          <w:szCs w:val="22"/>
        </w:rPr>
        <w:t>接受</w:t>
      </w:r>
      <w:r w:rsidRPr="009E2CD8">
        <w:rPr>
          <w:rFonts w:ascii="標楷體" w:eastAsia="標楷體" w:hAnsi="標楷體" w:hint="eastAsia"/>
          <w:kern w:val="24"/>
          <w:szCs w:val="22"/>
        </w:rPr>
        <w:t>前瞻性監測的慢性B型肝炎</w:t>
      </w:r>
      <w:r w:rsidR="009E2CD8" w:rsidRPr="009E2CD8">
        <w:rPr>
          <w:rFonts w:ascii="標楷體" w:eastAsia="標楷體" w:hAnsi="標楷體" w:hint="eastAsia"/>
          <w:kern w:val="24"/>
          <w:szCs w:val="22"/>
        </w:rPr>
        <w:t>病人</w:t>
      </w:r>
      <w:r w:rsidRPr="009E2CD8">
        <w:rPr>
          <w:rFonts w:ascii="標楷體" w:eastAsia="標楷體" w:hAnsi="標楷體" w:hint="eastAsia"/>
          <w:kern w:val="24"/>
          <w:szCs w:val="22"/>
        </w:rPr>
        <w:t>，治療結束時</w:t>
      </w:r>
      <w:r w:rsidRPr="009E2CD8">
        <w:rPr>
          <w:rFonts w:ascii="標楷體" w:eastAsia="標楷體" w:hAnsi="標楷體"/>
          <w:kern w:val="24"/>
          <w:szCs w:val="22"/>
        </w:rPr>
        <w:t>(EOT)HBeAg</w:t>
      </w:r>
      <w:r w:rsidR="009E2CD8" w:rsidRPr="009E2CD8">
        <w:rPr>
          <w:rFonts w:ascii="標楷體" w:eastAsia="標楷體" w:hAnsi="標楷體" w:hint="eastAsia"/>
          <w:kern w:val="24"/>
          <w:szCs w:val="22"/>
        </w:rPr>
        <w:t>需</w:t>
      </w:r>
      <w:r w:rsidRPr="009E2CD8">
        <w:rPr>
          <w:rFonts w:ascii="標楷體" w:eastAsia="標楷體" w:hAnsi="標楷體" w:hint="eastAsia"/>
          <w:kern w:val="24"/>
          <w:szCs w:val="22"/>
        </w:rPr>
        <w:t>為陰性且</w:t>
      </w:r>
      <w:r w:rsidRPr="009E2CD8">
        <w:rPr>
          <w:rFonts w:ascii="標楷體" w:eastAsia="標楷體" w:hAnsi="標楷體"/>
          <w:kern w:val="24"/>
          <w:szCs w:val="22"/>
        </w:rPr>
        <w:t>HBV DNA</w:t>
      </w:r>
      <w:r w:rsidRPr="009E2CD8">
        <w:rPr>
          <w:rFonts w:ascii="標楷體" w:eastAsia="標楷體" w:hAnsi="標楷體" w:hint="eastAsia"/>
          <w:kern w:val="24"/>
          <w:szCs w:val="22"/>
        </w:rPr>
        <w:t>不可檢測</w:t>
      </w:r>
      <w:r w:rsidR="009E2CD8" w:rsidRPr="009E2CD8">
        <w:rPr>
          <w:rFonts w:ascii="標楷體" w:eastAsia="標楷體" w:hAnsi="標楷體" w:hint="eastAsia"/>
          <w:kern w:val="24"/>
          <w:szCs w:val="22"/>
        </w:rPr>
        <w:t>，並</w:t>
      </w:r>
      <w:r w:rsidRPr="009E2CD8">
        <w:rPr>
          <w:rFonts w:ascii="標楷體" w:eastAsia="標楷體" w:hAnsi="標楷體" w:hint="eastAsia"/>
          <w:kern w:val="24"/>
          <w:szCs w:val="22"/>
        </w:rPr>
        <w:t>排除肝硬化或惡性腫瘤</w:t>
      </w:r>
      <w:r w:rsidR="009E2CD8" w:rsidRPr="009E2CD8">
        <w:rPr>
          <w:rFonts w:ascii="標楷體" w:eastAsia="標楷體" w:hAnsi="標楷體" w:hint="eastAsia"/>
          <w:kern w:val="24"/>
          <w:szCs w:val="22"/>
        </w:rPr>
        <w:t>患者</w:t>
      </w:r>
      <w:r w:rsidRPr="009E2CD8">
        <w:rPr>
          <w:rFonts w:ascii="標楷體" w:eastAsia="標楷體" w:hAnsi="標楷體" w:hint="eastAsia"/>
          <w:kern w:val="24"/>
          <w:szCs w:val="22"/>
        </w:rPr>
        <w:t>。</w:t>
      </w:r>
      <w:r w:rsidR="009E2CD8" w:rsidRPr="009E2CD8">
        <w:rPr>
          <w:rFonts w:ascii="標楷體" w:eastAsia="標楷體" w:hAnsi="標楷體" w:hint="eastAsia"/>
          <w:kern w:val="24"/>
          <w:szCs w:val="22"/>
        </w:rPr>
        <w:t>臨床復發</w:t>
      </w:r>
      <w:r w:rsidR="009E2CD8" w:rsidRPr="009E2CD8">
        <w:rPr>
          <w:rFonts w:ascii="標楷體" w:eastAsia="標楷體" w:hAnsi="標楷體" w:hint="eastAsia"/>
          <w:kern w:val="24"/>
          <w:szCs w:val="22"/>
        </w:rPr>
        <w:t>的</w:t>
      </w:r>
      <w:r w:rsidRPr="009E2CD8">
        <w:rPr>
          <w:rFonts w:ascii="標楷體" w:eastAsia="標楷體" w:hAnsi="標楷體" w:hint="eastAsia"/>
          <w:kern w:val="24"/>
          <w:szCs w:val="22"/>
        </w:rPr>
        <w:t>定義</w:t>
      </w:r>
      <w:r w:rsidR="009E2CD8" w:rsidRPr="009E2CD8">
        <w:rPr>
          <w:rFonts w:ascii="標楷體" w:eastAsia="標楷體" w:hAnsi="標楷體" w:hint="eastAsia"/>
          <w:kern w:val="24"/>
          <w:szCs w:val="22"/>
        </w:rPr>
        <w:t>是</w:t>
      </w:r>
      <w:r w:rsidRPr="009E2CD8">
        <w:rPr>
          <w:rFonts w:ascii="標楷體" w:eastAsia="標楷體" w:hAnsi="標楷體" w:hint="eastAsia"/>
          <w:kern w:val="24"/>
          <w:szCs w:val="22"/>
        </w:rPr>
        <w:t>血清丙氨</w:t>
      </w:r>
      <w:proofErr w:type="gramStart"/>
      <w:r w:rsidRPr="009E2CD8">
        <w:rPr>
          <w:rFonts w:ascii="標楷體" w:eastAsia="標楷體" w:hAnsi="標楷體" w:hint="eastAsia"/>
          <w:kern w:val="24"/>
          <w:szCs w:val="22"/>
        </w:rPr>
        <w:t>酸轉氨</w:t>
      </w:r>
      <w:proofErr w:type="gramEnd"/>
      <w:r w:rsidRPr="009E2CD8">
        <w:rPr>
          <w:rFonts w:ascii="標楷體" w:eastAsia="標楷體" w:hAnsi="標楷體" w:hint="eastAsia"/>
          <w:kern w:val="24"/>
          <w:szCs w:val="22"/>
        </w:rPr>
        <w:t>酶</w:t>
      </w:r>
      <w:r w:rsidRPr="009E2CD8">
        <w:rPr>
          <w:rFonts w:ascii="標楷體" w:eastAsia="標楷體" w:hAnsi="標楷體"/>
          <w:kern w:val="24"/>
          <w:szCs w:val="22"/>
        </w:rPr>
        <w:t xml:space="preserve">(ALT) </w:t>
      </w:r>
      <w:r w:rsidR="009E2CD8" w:rsidRPr="009E2CD8">
        <w:rPr>
          <w:rFonts w:ascii="標楷體" w:eastAsia="標楷體" w:hAnsi="標楷體" w:hint="eastAsia"/>
          <w:kern w:val="24"/>
          <w:szCs w:val="22"/>
        </w:rPr>
        <w:t>超過</w:t>
      </w:r>
      <w:r w:rsidRPr="009E2CD8">
        <w:rPr>
          <w:rFonts w:ascii="標楷體" w:eastAsia="標楷體" w:hAnsi="標楷體" w:hint="eastAsia"/>
          <w:kern w:val="24"/>
          <w:szCs w:val="22"/>
        </w:rPr>
        <w:t>正常上限兩倍且再次出現病毒血症。我們應用了時間依賴的</w:t>
      </w:r>
      <w:r w:rsidRPr="009E2CD8">
        <w:rPr>
          <w:rFonts w:ascii="標楷體" w:eastAsia="標楷體" w:hAnsi="標楷體"/>
          <w:kern w:val="24"/>
          <w:szCs w:val="22"/>
        </w:rPr>
        <w:t>Cox</w:t>
      </w:r>
      <w:r w:rsidRPr="009E2CD8">
        <w:rPr>
          <w:rFonts w:ascii="標楷體" w:eastAsia="標楷體" w:hAnsi="標楷體" w:hint="eastAsia"/>
          <w:kern w:val="24"/>
          <w:szCs w:val="22"/>
        </w:rPr>
        <w:t>比例風險模型來</w:t>
      </w:r>
      <w:proofErr w:type="gramStart"/>
      <w:r w:rsidR="009E2CD8" w:rsidRPr="009E2CD8">
        <w:rPr>
          <w:rFonts w:ascii="標楷體" w:eastAsia="標楷體" w:hAnsi="標楷體" w:hint="eastAsia"/>
          <w:kern w:val="24"/>
          <w:szCs w:val="22"/>
        </w:rPr>
        <w:t>釐</w:t>
      </w:r>
      <w:proofErr w:type="gramEnd"/>
      <w:r w:rsidR="009E2CD8" w:rsidRPr="009E2CD8">
        <w:rPr>
          <w:rFonts w:ascii="標楷體" w:eastAsia="標楷體" w:hAnsi="標楷體" w:hint="eastAsia"/>
          <w:kern w:val="24"/>
          <w:szCs w:val="22"/>
        </w:rPr>
        <w:t>清</w:t>
      </w:r>
      <w:proofErr w:type="spellStart"/>
      <w:r w:rsidRPr="009E2CD8">
        <w:rPr>
          <w:rFonts w:ascii="標楷體" w:eastAsia="標楷體" w:hAnsi="標楷體"/>
          <w:kern w:val="24"/>
          <w:szCs w:val="22"/>
        </w:rPr>
        <w:t>HBcrAg</w:t>
      </w:r>
      <w:proofErr w:type="spellEnd"/>
      <w:r w:rsidRPr="009E2CD8">
        <w:rPr>
          <w:rFonts w:ascii="標楷體" w:eastAsia="標楷體" w:hAnsi="標楷體" w:hint="eastAsia"/>
          <w:kern w:val="24"/>
          <w:szCs w:val="22"/>
        </w:rPr>
        <w:t>水平和後續</w:t>
      </w:r>
      <w:r w:rsidR="009E2CD8" w:rsidRPr="009E2CD8">
        <w:rPr>
          <w:rFonts w:ascii="標楷體" w:eastAsia="標楷體" w:hAnsi="標楷體" w:hint="eastAsia"/>
          <w:kern w:val="24"/>
          <w:szCs w:val="22"/>
        </w:rPr>
        <w:t>臨床復發</w:t>
      </w:r>
      <w:r w:rsidRPr="009E2CD8">
        <w:rPr>
          <w:rFonts w:ascii="標楷體" w:eastAsia="標楷體" w:hAnsi="標楷體" w:hint="eastAsia"/>
          <w:kern w:val="24"/>
          <w:szCs w:val="22"/>
        </w:rPr>
        <w:t>的關聯。</w:t>
      </w:r>
    </w:p>
    <w:p w14:paraId="3DAC694B" w14:textId="61910677" w:rsidR="0090707A" w:rsidRPr="009E2CD8" w:rsidRDefault="0090707A" w:rsidP="009E2CD8">
      <w:pPr>
        <w:suppressAutoHyphens/>
        <w:spacing w:line="480" w:lineRule="auto"/>
        <w:jc w:val="both"/>
        <w:rPr>
          <w:rFonts w:ascii="標楷體" w:eastAsia="標楷體" w:hAnsi="標楷體" w:hint="eastAsia"/>
          <w:kern w:val="24"/>
          <w:szCs w:val="22"/>
        </w:rPr>
      </w:pPr>
      <w:r w:rsidRPr="009E2CD8">
        <w:rPr>
          <w:rFonts w:ascii="標楷體" w:eastAsia="標楷體" w:hAnsi="標楷體" w:hint="eastAsia"/>
          <w:b/>
          <w:bCs/>
          <w:kern w:val="24"/>
          <w:szCs w:val="22"/>
        </w:rPr>
        <w:t>結果：</w:t>
      </w:r>
      <w:r w:rsidR="009E2CD8" w:rsidRPr="009E2CD8">
        <w:rPr>
          <w:rFonts w:ascii="標楷體" w:eastAsia="標楷體" w:hAnsi="標楷體" w:hint="eastAsia"/>
          <w:kern w:val="24"/>
          <w:szCs w:val="22"/>
        </w:rPr>
        <w:t>本研究</w:t>
      </w:r>
      <w:r w:rsidRPr="009E2CD8">
        <w:rPr>
          <w:rFonts w:ascii="標楷體" w:eastAsia="標楷體" w:hAnsi="標楷體" w:hint="eastAsia"/>
          <w:kern w:val="24"/>
          <w:szCs w:val="22"/>
        </w:rPr>
        <w:t>包括203名患者(中位數年齡，49.8歲；76.8%男性；60.1%使用entecavir)，治療的中位數為36.9個月(四分位數範圍[IQR]，36.5-40.1)。在中位數治療後</w:t>
      </w:r>
      <w:proofErr w:type="gramStart"/>
      <w:r w:rsidRPr="009E2CD8">
        <w:rPr>
          <w:rFonts w:ascii="標楷體" w:eastAsia="標楷體" w:hAnsi="標楷體" w:hint="eastAsia"/>
          <w:kern w:val="24"/>
          <w:szCs w:val="22"/>
        </w:rPr>
        <w:t>的隨訪31.7個</w:t>
      </w:r>
      <w:proofErr w:type="gramEnd"/>
      <w:r w:rsidRPr="009E2CD8">
        <w:rPr>
          <w:rFonts w:ascii="標楷體" w:eastAsia="標楷體" w:hAnsi="標楷體" w:hint="eastAsia"/>
          <w:kern w:val="24"/>
          <w:szCs w:val="22"/>
        </w:rPr>
        <w:t>月(IQR, 16.7-67.1)中，104名患者出現CR，5年累積發生率為54.8%(95%</w:t>
      </w:r>
      <w:r w:rsidR="009E2CD8" w:rsidRPr="009E2CD8">
        <w:rPr>
          <w:rFonts w:ascii="標楷體" w:eastAsia="標楷體" w:hAnsi="標楷體" w:hint="eastAsia"/>
          <w:kern w:val="24"/>
          <w:szCs w:val="22"/>
        </w:rPr>
        <w:t>信心</w:t>
      </w:r>
      <w:r w:rsidRPr="009E2CD8">
        <w:rPr>
          <w:rFonts w:ascii="標楷體" w:eastAsia="標楷體" w:hAnsi="標楷體" w:hint="eastAsia"/>
          <w:kern w:val="24"/>
          <w:szCs w:val="22"/>
        </w:rPr>
        <w:t>區間[CI]，47.1% - 62.4%)。</w:t>
      </w:r>
      <w:r w:rsidR="009E2CD8" w:rsidRPr="009E2CD8">
        <w:rPr>
          <w:rFonts w:ascii="標楷體" w:eastAsia="標楷體" w:hAnsi="標楷體" w:hint="eastAsia"/>
          <w:kern w:val="24"/>
          <w:szCs w:val="22"/>
        </w:rPr>
        <w:t>在調整了EOT HBsAg、anti-</w:t>
      </w:r>
      <w:proofErr w:type="spellStart"/>
      <w:r w:rsidR="009E2CD8" w:rsidRPr="009E2CD8">
        <w:rPr>
          <w:rFonts w:ascii="標楷體" w:eastAsia="標楷體" w:hAnsi="標楷體" w:hint="eastAsia"/>
          <w:kern w:val="24"/>
          <w:szCs w:val="22"/>
        </w:rPr>
        <w:t>HBe</w:t>
      </w:r>
      <w:proofErr w:type="spellEnd"/>
      <w:r w:rsidR="009E2CD8" w:rsidRPr="009E2CD8">
        <w:rPr>
          <w:rFonts w:ascii="標楷體" w:eastAsia="標楷體" w:hAnsi="標楷體" w:hint="eastAsia"/>
          <w:kern w:val="24"/>
          <w:szCs w:val="22"/>
        </w:rPr>
        <w:t>和EOT ALT的</w:t>
      </w:r>
      <w:proofErr w:type="gramStart"/>
      <w:r w:rsidR="009E2CD8" w:rsidRPr="009E2CD8">
        <w:rPr>
          <w:rFonts w:ascii="標楷體" w:eastAsia="標楷體" w:hAnsi="標楷體" w:hint="eastAsia"/>
          <w:kern w:val="24"/>
          <w:szCs w:val="22"/>
        </w:rPr>
        <w:t>多變量</w:t>
      </w:r>
      <w:proofErr w:type="gramEnd"/>
      <w:r w:rsidR="009E2CD8" w:rsidRPr="009E2CD8">
        <w:rPr>
          <w:rFonts w:ascii="標楷體" w:eastAsia="標楷體" w:hAnsi="標楷體" w:hint="eastAsia"/>
          <w:kern w:val="24"/>
          <w:szCs w:val="22"/>
        </w:rPr>
        <w:t>模型中</w:t>
      </w:r>
      <w:r w:rsidR="009E2CD8" w:rsidRPr="009E2CD8">
        <w:rPr>
          <w:rFonts w:ascii="標楷體" w:eastAsia="標楷體" w:hAnsi="標楷體" w:hint="eastAsia"/>
          <w:kern w:val="24"/>
          <w:szCs w:val="22"/>
        </w:rPr>
        <w:t>，</w:t>
      </w:r>
      <w:r w:rsidRPr="009E2CD8">
        <w:rPr>
          <w:rFonts w:ascii="標楷體" w:eastAsia="標楷體" w:hAnsi="標楷體" w:hint="eastAsia"/>
          <w:kern w:val="24"/>
          <w:szCs w:val="22"/>
        </w:rPr>
        <w:t>時間變化的</w:t>
      </w:r>
      <w:proofErr w:type="spellStart"/>
      <w:r w:rsidRPr="009E2CD8">
        <w:rPr>
          <w:rFonts w:ascii="標楷體" w:eastAsia="標楷體" w:hAnsi="標楷體" w:hint="eastAsia"/>
          <w:kern w:val="24"/>
          <w:szCs w:val="22"/>
        </w:rPr>
        <w:t>HBcrAg</w:t>
      </w:r>
      <w:proofErr w:type="spellEnd"/>
      <w:r w:rsidRPr="009E2CD8">
        <w:rPr>
          <w:rFonts w:ascii="標楷體" w:eastAsia="標楷體" w:hAnsi="標楷體" w:hint="eastAsia"/>
          <w:kern w:val="24"/>
          <w:szCs w:val="22"/>
        </w:rPr>
        <w:t>水平是</w:t>
      </w:r>
      <w:r w:rsidR="009E2CD8" w:rsidRPr="009E2CD8">
        <w:rPr>
          <w:rFonts w:ascii="標楷體" w:eastAsia="標楷體" w:hAnsi="標楷體" w:hint="eastAsia"/>
          <w:kern w:val="24"/>
          <w:szCs w:val="22"/>
        </w:rPr>
        <w:t>臨床復發</w:t>
      </w:r>
      <w:r w:rsidRPr="009E2CD8">
        <w:rPr>
          <w:rFonts w:ascii="標楷體" w:eastAsia="標楷體" w:hAnsi="標楷體" w:hint="eastAsia"/>
          <w:kern w:val="24"/>
          <w:szCs w:val="22"/>
        </w:rPr>
        <w:t>的</w:t>
      </w:r>
      <w:r w:rsidR="009E2CD8" w:rsidRPr="009E2CD8">
        <w:rPr>
          <w:rFonts w:ascii="標楷體" w:eastAsia="標楷體" w:hAnsi="標楷體" w:hint="eastAsia"/>
          <w:kern w:val="24"/>
          <w:szCs w:val="22"/>
        </w:rPr>
        <w:t>顯</w:t>
      </w:r>
      <w:r w:rsidRPr="009E2CD8">
        <w:rPr>
          <w:rFonts w:ascii="標楷體" w:eastAsia="標楷體" w:hAnsi="標楷體" w:hint="eastAsia"/>
          <w:kern w:val="24"/>
          <w:szCs w:val="22"/>
        </w:rPr>
        <w:t>著</w:t>
      </w:r>
      <w:r w:rsidR="009E2CD8" w:rsidRPr="009E2CD8">
        <w:rPr>
          <w:rFonts w:ascii="標楷體" w:eastAsia="標楷體" w:hAnsi="標楷體" w:hint="eastAsia"/>
          <w:kern w:val="24"/>
          <w:szCs w:val="22"/>
        </w:rPr>
        <w:t>危險因子</w:t>
      </w:r>
      <w:r w:rsidRPr="009E2CD8">
        <w:rPr>
          <w:rFonts w:ascii="標楷體" w:eastAsia="標楷體" w:hAnsi="標楷體" w:hint="eastAsia"/>
          <w:kern w:val="24"/>
          <w:szCs w:val="22"/>
        </w:rPr>
        <w:t>(風險比[</w:t>
      </w:r>
      <w:proofErr w:type="spellStart"/>
      <w:r w:rsidRPr="009E2CD8">
        <w:rPr>
          <w:rFonts w:ascii="標楷體" w:eastAsia="標楷體" w:hAnsi="標楷體" w:hint="eastAsia"/>
          <w:kern w:val="24"/>
          <w:szCs w:val="22"/>
        </w:rPr>
        <w:t>aHR</w:t>
      </w:r>
      <w:proofErr w:type="spellEnd"/>
      <w:r w:rsidRPr="009E2CD8">
        <w:rPr>
          <w:rFonts w:ascii="標楷體" w:eastAsia="標楷體" w:hAnsi="標楷體" w:hint="eastAsia"/>
          <w:kern w:val="24"/>
          <w:szCs w:val="22"/>
        </w:rPr>
        <w:t>]，每log U/mL 1.43；95% CI，1.16-1.76)。</w:t>
      </w:r>
      <w:r w:rsidR="009E2CD8" w:rsidRPr="009E2CD8">
        <w:rPr>
          <w:rFonts w:ascii="標楷體" w:eastAsia="標楷體" w:hAnsi="標楷體" w:hint="eastAsia"/>
          <w:kern w:val="24"/>
          <w:szCs w:val="22"/>
        </w:rPr>
        <w:t>追蹤</w:t>
      </w:r>
      <w:proofErr w:type="gramStart"/>
      <w:r w:rsidRPr="009E2CD8">
        <w:rPr>
          <w:rFonts w:ascii="標楷體" w:eastAsia="標楷體" w:hAnsi="標楷體" w:hint="eastAsia"/>
          <w:kern w:val="24"/>
          <w:szCs w:val="22"/>
        </w:rPr>
        <w:t>期間，</w:t>
      </w:r>
      <w:proofErr w:type="spellStart"/>
      <w:proofErr w:type="gramEnd"/>
      <w:r w:rsidRPr="009E2CD8">
        <w:rPr>
          <w:rFonts w:ascii="標楷體" w:eastAsia="標楷體" w:hAnsi="標楷體" w:hint="eastAsia"/>
          <w:kern w:val="24"/>
          <w:szCs w:val="22"/>
        </w:rPr>
        <w:t>HBcrAg</w:t>
      </w:r>
      <w:proofErr w:type="spellEnd"/>
      <w:r w:rsidRPr="009E2CD8">
        <w:rPr>
          <w:rFonts w:ascii="標楷體" w:eastAsia="標楷體" w:hAnsi="標楷體" w:hint="eastAsia"/>
          <w:kern w:val="24"/>
          <w:szCs w:val="22"/>
        </w:rPr>
        <w:t xml:space="preserve"> &lt; 1,000 U/mL預測</w:t>
      </w:r>
      <w:r w:rsidR="009E2CD8" w:rsidRPr="009E2CD8">
        <w:rPr>
          <w:rFonts w:ascii="標楷體" w:eastAsia="標楷體" w:hAnsi="標楷體" w:hint="eastAsia"/>
          <w:kern w:val="24"/>
          <w:szCs w:val="22"/>
        </w:rPr>
        <w:t>較</w:t>
      </w:r>
      <w:r w:rsidR="009E2CD8" w:rsidRPr="009E2CD8">
        <w:rPr>
          <w:rFonts w:ascii="標楷體" w:eastAsia="標楷體" w:hAnsi="標楷體" w:hint="eastAsia"/>
          <w:kern w:val="24"/>
          <w:szCs w:val="22"/>
        </w:rPr>
        <w:t>低</w:t>
      </w:r>
      <w:r w:rsidR="009E2CD8" w:rsidRPr="009E2CD8">
        <w:rPr>
          <w:rFonts w:ascii="標楷體" w:eastAsia="標楷體" w:hAnsi="標楷體" w:hint="eastAsia"/>
          <w:kern w:val="24"/>
          <w:szCs w:val="22"/>
        </w:rPr>
        <w:t>的</w:t>
      </w:r>
      <w:r w:rsidR="009E2CD8" w:rsidRPr="009E2CD8">
        <w:rPr>
          <w:rFonts w:ascii="標楷體" w:eastAsia="標楷體" w:hAnsi="標楷體" w:hint="eastAsia"/>
          <w:kern w:val="24"/>
          <w:szCs w:val="22"/>
        </w:rPr>
        <w:t>臨床復發</w:t>
      </w:r>
      <w:r w:rsidRPr="009E2CD8">
        <w:rPr>
          <w:rFonts w:ascii="標楷體" w:eastAsia="標楷體" w:hAnsi="標楷體" w:hint="eastAsia"/>
          <w:kern w:val="24"/>
          <w:szCs w:val="22"/>
        </w:rPr>
        <w:t>風險(</w:t>
      </w:r>
      <w:proofErr w:type="spellStart"/>
      <w:r w:rsidRPr="009E2CD8">
        <w:rPr>
          <w:rFonts w:ascii="標楷體" w:eastAsia="標楷體" w:hAnsi="標楷體" w:hint="eastAsia"/>
          <w:kern w:val="24"/>
          <w:szCs w:val="22"/>
        </w:rPr>
        <w:t>aHR</w:t>
      </w:r>
      <w:proofErr w:type="spellEnd"/>
      <w:r w:rsidRPr="009E2CD8">
        <w:rPr>
          <w:rFonts w:ascii="標楷體" w:eastAsia="標楷體" w:hAnsi="標楷體" w:hint="eastAsia"/>
          <w:kern w:val="24"/>
          <w:szCs w:val="22"/>
        </w:rPr>
        <w:t>, 0.31；95% CI, 0.17-0.57)。</w:t>
      </w:r>
    </w:p>
    <w:p w14:paraId="1A50345F" w14:textId="1FD4CC40" w:rsidR="0090707A" w:rsidRPr="009E2CD8" w:rsidRDefault="0090707A" w:rsidP="009E2CD8">
      <w:pPr>
        <w:suppressAutoHyphens/>
        <w:spacing w:line="480" w:lineRule="auto"/>
        <w:jc w:val="both"/>
        <w:rPr>
          <w:rFonts w:ascii="標楷體" w:eastAsia="標楷體" w:hAnsi="標楷體" w:hint="eastAsia"/>
          <w:kern w:val="24"/>
          <w:szCs w:val="22"/>
        </w:rPr>
      </w:pPr>
      <w:r w:rsidRPr="009E2CD8">
        <w:rPr>
          <w:rFonts w:ascii="標楷體" w:eastAsia="標楷體" w:hAnsi="標楷體" w:hint="eastAsia"/>
          <w:b/>
          <w:bCs/>
          <w:kern w:val="24"/>
          <w:szCs w:val="22"/>
        </w:rPr>
        <w:t>結論：</w:t>
      </w:r>
      <w:r w:rsidRPr="009E2CD8">
        <w:rPr>
          <w:rFonts w:ascii="標楷體" w:eastAsia="標楷體" w:hAnsi="標楷體" w:hint="eastAsia"/>
          <w:kern w:val="24"/>
          <w:szCs w:val="22"/>
        </w:rPr>
        <w:t>停</w:t>
      </w:r>
      <w:r w:rsidR="009E2CD8" w:rsidRPr="009E2CD8">
        <w:rPr>
          <w:rFonts w:ascii="標楷體" w:eastAsia="標楷體" w:hAnsi="標楷體" w:hint="eastAsia"/>
          <w:kern w:val="24"/>
          <w:szCs w:val="22"/>
        </w:rPr>
        <w:t>止</w:t>
      </w:r>
      <w:r w:rsidR="009E2CD8" w:rsidRPr="009E2CD8">
        <w:rPr>
          <w:rFonts w:ascii="標楷體" w:eastAsia="標楷體" w:hAnsi="標楷體" w:hint="eastAsia"/>
          <w:kern w:val="24"/>
          <w:szCs w:val="22"/>
        </w:rPr>
        <w:t>核苷</w:t>
      </w:r>
      <w:r w:rsidR="009E2CD8" w:rsidRPr="009E2CD8">
        <w:rPr>
          <w:rFonts w:ascii="標楷體" w:eastAsia="標楷體" w:hAnsi="標楷體"/>
          <w:kern w:val="24"/>
          <w:szCs w:val="22"/>
        </w:rPr>
        <w:t>(</w:t>
      </w:r>
      <w:r w:rsidR="009E2CD8" w:rsidRPr="009E2CD8">
        <w:rPr>
          <w:rFonts w:ascii="標楷體" w:eastAsia="標楷體" w:hAnsi="標楷體" w:hint="eastAsia"/>
          <w:kern w:val="24"/>
          <w:szCs w:val="22"/>
        </w:rPr>
        <w:t>酸</w:t>
      </w:r>
      <w:r w:rsidR="009E2CD8" w:rsidRPr="009E2CD8">
        <w:rPr>
          <w:rFonts w:ascii="標楷體" w:eastAsia="標楷體" w:hAnsi="標楷體"/>
          <w:kern w:val="24"/>
          <w:szCs w:val="22"/>
        </w:rPr>
        <w:t>)</w:t>
      </w:r>
      <w:r w:rsidR="009E2CD8" w:rsidRPr="009E2CD8">
        <w:rPr>
          <w:rFonts w:ascii="標楷體" w:eastAsia="標楷體" w:hAnsi="標楷體" w:hint="eastAsia"/>
          <w:kern w:val="24"/>
          <w:szCs w:val="22"/>
        </w:rPr>
        <w:t>類似物</w:t>
      </w:r>
      <w:r w:rsidR="009E2CD8" w:rsidRPr="009E2CD8">
        <w:rPr>
          <w:rFonts w:ascii="標楷體" w:eastAsia="標楷體" w:hAnsi="標楷體" w:hint="eastAsia"/>
          <w:kern w:val="24"/>
          <w:szCs w:val="22"/>
        </w:rPr>
        <w:t>治療</w:t>
      </w:r>
      <w:r w:rsidRPr="009E2CD8">
        <w:rPr>
          <w:rFonts w:ascii="標楷體" w:eastAsia="標楷體" w:hAnsi="標楷體" w:hint="eastAsia"/>
          <w:kern w:val="24"/>
          <w:szCs w:val="22"/>
        </w:rPr>
        <w:t>後的</w:t>
      </w:r>
      <w:proofErr w:type="spellStart"/>
      <w:r w:rsidRPr="009E2CD8">
        <w:rPr>
          <w:rFonts w:ascii="標楷體" w:eastAsia="標楷體" w:hAnsi="標楷體" w:hint="eastAsia"/>
          <w:kern w:val="24"/>
          <w:szCs w:val="22"/>
        </w:rPr>
        <w:t>HBcrAg</w:t>
      </w:r>
      <w:proofErr w:type="spellEnd"/>
      <w:r w:rsidRPr="009E2CD8">
        <w:rPr>
          <w:rFonts w:ascii="標楷體" w:eastAsia="標楷體" w:hAnsi="標楷體" w:hint="eastAsia"/>
          <w:kern w:val="24"/>
          <w:szCs w:val="22"/>
        </w:rPr>
        <w:t>動態測量可以預測後續的</w:t>
      </w:r>
      <w:r w:rsidR="009E2CD8" w:rsidRPr="009E2CD8">
        <w:rPr>
          <w:rFonts w:ascii="標楷體" w:eastAsia="標楷體" w:hAnsi="標楷體" w:hint="eastAsia"/>
          <w:kern w:val="24"/>
          <w:szCs w:val="22"/>
        </w:rPr>
        <w:t>臨床復發</w:t>
      </w:r>
      <w:r w:rsidRPr="009E2CD8">
        <w:rPr>
          <w:rFonts w:ascii="標楷體" w:eastAsia="標楷體" w:hAnsi="標楷體" w:hint="eastAsia"/>
          <w:kern w:val="24"/>
          <w:szCs w:val="22"/>
        </w:rPr>
        <w:t>。</w:t>
      </w:r>
    </w:p>
    <w:p w14:paraId="51404C9E" w14:textId="4D97DE21" w:rsidR="0090707A" w:rsidRPr="009E2CD8" w:rsidRDefault="0090707A" w:rsidP="009E2CD8">
      <w:pPr>
        <w:suppressAutoHyphens/>
        <w:spacing w:line="480" w:lineRule="auto"/>
        <w:jc w:val="both"/>
        <w:rPr>
          <w:rFonts w:ascii="標楷體" w:eastAsia="標楷體" w:hAnsi="標楷體" w:hint="eastAsia"/>
          <w:kern w:val="24"/>
          <w:szCs w:val="22"/>
        </w:rPr>
      </w:pPr>
      <w:r w:rsidRPr="009E2CD8">
        <w:rPr>
          <w:rFonts w:ascii="標楷體" w:eastAsia="標楷體" w:hAnsi="標楷體" w:hint="eastAsia"/>
          <w:b/>
          <w:bCs/>
          <w:kern w:val="24"/>
          <w:szCs w:val="22"/>
        </w:rPr>
        <w:t>關鍵詞：</w:t>
      </w:r>
      <w:r w:rsidRPr="009E2CD8">
        <w:rPr>
          <w:rFonts w:ascii="標楷體" w:eastAsia="標楷體" w:hAnsi="標楷體" w:hint="eastAsia"/>
          <w:kern w:val="24"/>
          <w:szCs w:val="22"/>
        </w:rPr>
        <w:t>慢性</w:t>
      </w:r>
      <w:r w:rsidR="009E2CD8">
        <w:rPr>
          <w:rFonts w:ascii="標楷體" w:eastAsia="標楷體" w:hAnsi="標楷體" w:hint="eastAsia"/>
          <w:kern w:val="24"/>
          <w:szCs w:val="22"/>
        </w:rPr>
        <w:t>B</w:t>
      </w:r>
      <w:r w:rsidRPr="009E2CD8">
        <w:rPr>
          <w:rFonts w:ascii="標楷體" w:eastAsia="標楷體" w:hAnsi="標楷體" w:hint="eastAsia"/>
          <w:kern w:val="24"/>
          <w:szCs w:val="22"/>
        </w:rPr>
        <w:t>型肝炎；有限的核苷</w:t>
      </w:r>
      <w:r w:rsidRPr="009E2CD8">
        <w:rPr>
          <w:rFonts w:ascii="標楷體" w:eastAsia="標楷體" w:hAnsi="標楷體"/>
          <w:kern w:val="24"/>
          <w:szCs w:val="22"/>
        </w:rPr>
        <w:t>(</w:t>
      </w:r>
      <w:r w:rsidRPr="009E2CD8">
        <w:rPr>
          <w:rFonts w:ascii="標楷體" w:eastAsia="標楷體" w:hAnsi="標楷體" w:hint="eastAsia"/>
          <w:kern w:val="24"/>
          <w:szCs w:val="22"/>
        </w:rPr>
        <w:t>酸</w:t>
      </w:r>
      <w:r w:rsidRPr="009E2CD8">
        <w:rPr>
          <w:rFonts w:ascii="標楷體" w:eastAsia="標楷體" w:hAnsi="標楷體"/>
          <w:kern w:val="24"/>
          <w:szCs w:val="22"/>
        </w:rPr>
        <w:t>)</w:t>
      </w:r>
      <w:r w:rsidRPr="009E2CD8">
        <w:rPr>
          <w:rFonts w:ascii="標楷體" w:eastAsia="標楷體" w:hAnsi="標楷體" w:hint="eastAsia"/>
          <w:kern w:val="24"/>
          <w:szCs w:val="22"/>
        </w:rPr>
        <w:t>類似物治療；乙型肝炎核心相關抗原。</w:t>
      </w:r>
    </w:p>
    <w:p w14:paraId="46098754" w14:textId="77777777" w:rsidR="0090707A" w:rsidRDefault="0090707A" w:rsidP="00570994">
      <w:pPr>
        <w:suppressAutoHyphens/>
        <w:spacing w:line="480" w:lineRule="auto"/>
        <w:jc w:val="both"/>
        <w:rPr>
          <w:b/>
          <w:bCs/>
          <w:kern w:val="24"/>
          <w:szCs w:val="22"/>
        </w:rPr>
        <w:sectPr w:rsidR="0090707A" w:rsidSect="007B5678">
          <w:pgSz w:w="11906" w:h="16838" w:code="9"/>
          <w:pgMar w:top="1440" w:right="1758" w:bottom="1440" w:left="1758" w:header="851" w:footer="992" w:gutter="0"/>
          <w:lnNumType w:countBy="1" w:restart="continuous"/>
          <w:cols w:space="425"/>
          <w:docGrid w:type="linesAndChars" w:linePitch="360"/>
        </w:sectPr>
      </w:pPr>
    </w:p>
    <w:p w14:paraId="5CDC2938" w14:textId="1B9F7193" w:rsidR="0090707A" w:rsidRDefault="0090707A" w:rsidP="00570994">
      <w:pPr>
        <w:suppressAutoHyphens/>
        <w:spacing w:line="480" w:lineRule="auto"/>
        <w:jc w:val="both"/>
        <w:rPr>
          <w:b/>
          <w:bCs/>
          <w:kern w:val="24"/>
          <w:szCs w:val="22"/>
        </w:rPr>
      </w:pPr>
      <w:r>
        <w:rPr>
          <w:rFonts w:hint="eastAsia"/>
          <w:b/>
          <w:bCs/>
          <w:kern w:val="24"/>
          <w:szCs w:val="22"/>
        </w:rPr>
        <w:lastRenderedPageBreak/>
        <w:t>A</w:t>
      </w:r>
      <w:r>
        <w:rPr>
          <w:b/>
          <w:bCs/>
          <w:kern w:val="24"/>
          <w:szCs w:val="22"/>
        </w:rPr>
        <w:t>BSTRACT</w:t>
      </w:r>
    </w:p>
    <w:p w14:paraId="3C507132" w14:textId="53494C74" w:rsidR="00570994" w:rsidRPr="00570994" w:rsidRDefault="00570994" w:rsidP="00570994">
      <w:pPr>
        <w:suppressAutoHyphens/>
        <w:spacing w:line="480" w:lineRule="auto"/>
        <w:jc w:val="both"/>
        <w:rPr>
          <w:bCs/>
          <w:kern w:val="24"/>
          <w:szCs w:val="22"/>
          <w:lang w:val="en-GB"/>
        </w:rPr>
      </w:pPr>
      <w:r w:rsidRPr="00570994">
        <w:rPr>
          <w:b/>
          <w:bCs/>
          <w:kern w:val="24"/>
          <w:szCs w:val="22"/>
        </w:rPr>
        <w:t>Background:</w:t>
      </w:r>
      <w:r w:rsidRPr="00570994">
        <w:rPr>
          <w:bCs/>
          <w:kern w:val="24"/>
          <w:szCs w:val="22"/>
        </w:rPr>
        <w:t xml:space="preserve"> </w:t>
      </w:r>
      <w:r w:rsidR="0090707A" w:rsidRPr="0090707A">
        <w:rPr>
          <w:bCs/>
          <w:kern w:val="24"/>
          <w:szCs w:val="22"/>
          <w:lang w:val="en-GB"/>
        </w:rPr>
        <w:t xml:space="preserve">Finite nucleos(t)ide </w:t>
      </w:r>
      <w:proofErr w:type="spellStart"/>
      <w:r w:rsidR="0090707A" w:rsidRPr="0090707A">
        <w:rPr>
          <w:bCs/>
          <w:kern w:val="24"/>
          <w:szCs w:val="22"/>
          <w:lang w:val="en-GB"/>
        </w:rPr>
        <w:t>analog</w:t>
      </w:r>
      <w:proofErr w:type="spellEnd"/>
      <w:r w:rsidR="0090707A" w:rsidRPr="0090707A">
        <w:rPr>
          <w:bCs/>
          <w:kern w:val="24"/>
          <w:szCs w:val="22"/>
          <w:lang w:val="en-GB"/>
        </w:rPr>
        <w:t xml:space="preserve"> (NA) therapy has been proposed as an alternative treatment strategy for chronic hepatitis B (CHB), but biomarkers for post-treatment monitoring are limited. </w:t>
      </w:r>
    </w:p>
    <w:p w14:paraId="75135318" w14:textId="7C3C2F2B" w:rsidR="00570994" w:rsidRPr="00570994" w:rsidRDefault="00570994" w:rsidP="00570994">
      <w:pPr>
        <w:suppressAutoHyphens/>
        <w:spacing w:line="480" w:lineRule="auto"/>
        <w:jc w:val="both"/>
        <w:rPr>
          <w:bCs/>
          <w:kern w:val="24"/>
          <w:szCs w:val="22"/>
          <w:lang w:val="en-GB"/>
        </w:rPr>
      </w:pPr>
      <w:r w:rsidRPr="00570994">
        <w:rPr>
          <w:b/>
          <w:bCs/>
          <w:kern w:val="24"/>
          <w:szCs w:val="22"/>
          <w:lang w:val="en-GB"/>
        </w:rPr>
        <w:t>Aim:</w:t>
      </w:r>
      <w:r w:rsidRPr="00570994">
        <w:rPr>
          <w:rFonts w:hint="eastAsia"/>
          <w:b/>
          <w:bCs/>
          <w:kern w:val="24"/>
          <w:szCs w:val="22"/>
          <w:lang w:val="en-GB"/>
        </w:rPr>
        <w:t xml:space="preserve"> </w:t>
      </w:r>
      <w:r w:rsidR="00A32D23" w:rsidRPr="00A32D23">
        <w:rPr>
          <w:bCs/>
          <w:kern w:val="24"/>
          <w:szCs w:val="22"/>
        </w:rPr>
        <w:t>We aimed to</w:t>
      </w:r>
      <w:r w:rsidR="0090707A">
        <w:rPr>
          <w:bCs/>
          <w:kern w:val="24"/>
          <w:szCs w:val="22"/>
        </w:rPr>
        <w:t xml:space="preserve"> examine if d</w:t>
      </w:r>
      <w:r w:rsidR="0090707A" w:rsidRPr="0090707A">
        <w:rPr>
          <w:bCs/>
          <w:kern w:val="24"/>
          <w:szCs w:val="22"/>
        </w:rPr>
        <w:t xml:space="preserve">ynamic measurement of serum </w:t>
      </w:r>
      <w:proofErr w:type="spellStart"/>
      <w:r w:rsidR="0090707A" w:rsidRPr="0090707A">
        <w:rPr>
          <w:bCs/>
          <w:kern w:val="24"/>
          <w:szCs w:val="22"/>
        </w:rPr>
        <w:t>HBcrAg</w:t>
      </w:r>
      <w:proofErr w:type="spellEnd"/>
      <w:r w:rsidR="0090707A" w:rsidRPr="0090707A">
        <w:rPr>
          <w:bCs/>
          <w:kern w:val="24"/>
          <w:szCs w:val="22"/>
        </w:rPr>
        <w:t xml:space="preserve"> levels after cessation of NA therapy is associated with risk of clinical relapse</w:t>
      </w:r>
      <w:r w:rsidR="0090707A">
        <w:rPr>
          <w:bCs/>
          <w:kern w:val="24"/>
          <w:szCs w:val="22"/>
        </w:rPr>
        <w:t>.</w:t>
      </w:r>
    </w:p>
    <w:p w14:paraId="0167A7F3" w14:textId="2436D6EE" w:rsidR="00570994" w:rsidRPr="00570994" w:rsidRDefault="00570994" w:rsidP="00941A2D">
      <w:pPr>
        <w:suppressAutoHyphens/>
        <w:spacing w:line="480" w:lineRule="auto"/>
        <w:jc w:val="both"/>
        <w:rPr>
          <w:rFonts w:cs="Calibri"/>
          <w:bCs/>
          <w:kern w:val="1"/>
          <w:lang w:eastAsia="ar-SA"/>
        </w:rPr>
      </w:pPr>
      <w:r w:rsidRPr="00570994">
        <w:rPr>
          <w:b/>
          <w:bCs/>
          <w:kern w:val="24"/>
          <w:szCs w:val="22"/>
          <w:lang w:val="en-GB"/>
        </w:rPr>
        <w:t>Methods:</w:t>
      </w:r>
      <w:r w:rsidRPr="00570994">
        <w:rPr>
          <w:bCs/>
          <w:kern w:val="24"/>
          <w:szCs w:val="22"/>
          <w:lang w:val="en-GB"/>
        </w:rPr>
        <w:t xml:space="preserve"> </w:t>
      </w:r>
      <w:r w:rsidR="0090707A" w:rsidRPr="0090707A">
        <w:rPr>
          <w:rFonts w:cs="Calibri"/>
          <w:bCs/>
          <w:kern w:val="1"/>
          <w:lang w:eastAsia="ar-SA"/>
        </w:rPr>
        <w:t xml:space="preserve">This retrospective multicenter analysis enrolled adults with CHB who were prospectively monitored after discontinuing entecavir or tenofovir with negative HBeAg and undetectable HBV DNA at the end of treatment (EOT). Patients with cirrhosis or malignancy were excluded. CR was defined as serum alanine aminotransferase (ALT) &gt; two times the upper limit of normal with recurrent viremia. We applied time-dependent Cox proportional hazard models to clarify the association between </w:t>
      </w:r>
      <w:proofErr w:type="spellStart"/>
      <w:r w:rsidR="0090707A" w:rsidRPr="0090707A">
        <w:rPr>
          <w:rFonts w:cs="Calibri"/>
          <w:bCs/>
          <w:kern w:val="1"/>
          <w:lang w:eastAsia="ar-SA"/>
        </w:rPr>
        <w:t>HBcrAg</w:t>
      </w:r>
      <w:proofErr w:type="spellEnd"/>
      <w:r w:rsidR="0090707A" w:rsidRPr="0090707A">
        <w:rPr>
          <w:rFonts w:cs="Calibri"/>
          <w:bCs/>
          <w:kern w:val="1"/>
          <w:lang w:eastAsia="ar-SA"/>
        </w:rPr>
        <w:t xml:space="preserve"> levels and subsequent CR.</w:t>
      </w:r>
    </w:p>
    <w:p w14:paraId="00A2BBDF" w14:textId="6B0F1748" w:rsidR="00570994" w:rsidRPr="00570994" w:rsidRDefault="00570994" w:rsidP="00570994">
      <w:pPr>
        <w:suppressAutoHyphens/>
        <w:spacing w:line="480" w:lineRule="auto"/>
        <w:jc w:val="both"/>
        <w:rPr>
          <w:bCs/>
          <w:kern w:val="1"/>
          <w:szCs w:val="22"/>
          <w:lang w:eastAsia="ar-SA"/>
        </w:rPr>
      </w:pPr>
      <w:r w:rsidRPr="00570994">
        <w:rPr>
          <w:rFonts w:cs="Calibri"/>
          <w:b/>
          <w:bCs/>
          <w:kern w:val="1"/>
        </w:rPr>
        <w:t xml:space="preserve">Results: </w:t>
      </w:r>
      <w:r w:rsidR="0090707A" w:rsidRPr="0090707A">
        <w:rPr>
          <w:rFonts w:cs="Calibri"/>
          <w:bCs/>
          <w:kern w:val="1"/>
        </w:rPr>
        <w:t xml:space="preserve">The cohort included 203 patients (median age, 49.8 years; 76.8% male; 60.1% entecavir) who had been treated for a median of 36.9 months (interquartile range [IQR], 36.5-40.1). During a median post-treatment follow-up of 31.7 months (IQR, 16.7-67.1), CR occurred in 104 patients with a 5-year cumulative incidence of 54.8% (95% confidence interval [CI], 47.1% ‐ 62.4%). Time-varying </w:t>
      </w:r>
      <w:proofErr w:type="spellStart"/>
      <w:r w:rsidR="0090707A" w:rsidRPr="0090707A">
        <w:rPr>
          <w:rFonts w:cs="Calibri"/>
          <w:bCs/>
          <w:kern w:val="1"/>
        </w:rPr>
        <w:t>HBcrAg</w:t>
      </w:r>
      <w:proofErr w:type="spellEnd"/>
      <w:r w:rsidR="0090707A" w:rsidRPr="0090707A">
        <w:rPr>
          <w:rFonts w:cs="Calibri"/>
          <w:bCs/>
          <w:kern w:val="1"/>
        </w:rPr>
        <w:t xml:space="preserve"> level was a significant risk factor for subsequent CR (adjusted hazard ratio [</w:t>
      </w:r>
      <w:proofErr w:type="spellStart"/>
      <w:r w:rsidR="0090707A" w:rsidRPr="0090707A">
        <w:rPr>
          <w:rFonts w:cs="Calibri"/>
          <w:bCs/>
          <w:kern w:val="1"/>
        </w:rPr>
        <w:t>aHR</w:t>
      </w:r>
      <w:proofErr w:type="spellEnd"/>
      <w:r w:rsidR="0090707A" w:rsidRPr="0090707A">
        <w:rPr>
          <w:rFonts w:cs="Calibri"/>
          <w:bCs/>
          <w:kern w:val="1"/>
        </w:rPr>
        <w:t xml:space="preserve">], 1.43 per log U/mL; 95% CI, </w:t>
      </w:r>
      <w:r w:rsidR="0090707A" w:rsidRPr="0090707A">
        <w:rPr>
          <w:rFonts w:cs="Calibri"/>
          <w:bCs/>
          <w:kern w:val="1"/>
        </w:rPr>
        <w:lastRenderedPageBreak/>
        <w:t>1.16-1.76) in the multivariable model adjusted for EOT HBsAg, anti-</w:t>
      </w:r>
      <w:proofErr w:type="spellStart"/>
      <w:r w:rsidR="0090707A" w:rsidRPr="0090707A">
        <w:rPr>
          <w:rFonts w:cs="Calibri"/>
          <w:bCs/>
          <w:kern w:val="1"/>
        </w:rPr>
        <w:t>HBe</w:t>
      </w:r>
      <w:proofErr w:type="spellEnd"/>
      <w:r w:rsidR="0090707A" w:rsidRPr="0090707A">
        <w:rPr>
          <w:rFonts w:cs="Calibri"/>
          <w:bCs/>
          <w:kern w:val="1"/>
        </w:rPr>
        <w:t xml:space="preserve">, and EOT ALT. During follow-up, </w:t>
      </w:r>
      <w:proofErr w:type="spellStart"/>
      <w:r w:rsidR="0090707A" w:rsidRPr="0090707A">
        <w:rPr>
          <w:rFonts w:cs="Calibri"/>
          <w:bCs/>
          <w:kern w:val="1"/>
        </w:rPr>
        <w:t>HBcrAg</w:t>
      </w:r>
      <w:proofErr w:type="spellEnd"/>
      <w:r w:rsidR="0090707A" w:rsidRPr="0090707A">
        <w:rPr>
          <w:rFonts w:cs="Calibri"/>
          <w:bCs/>
          <w:kern w:val="1"/>
        </w:rPr>
        <w:t xml:space="preserve"> &lt; 1,000 U/mL predicted a low risk of CR (</w:t>
      </w:r>
      <w:proofErr w:type="spellStart"/>
      <w:r w:rsidR="0090707A" w:rsidRPr="0090707A">
        <w:rPr>
          <w:rFonts w:cs="Calibri"/>
          <w:bCs/>
          <w:kern w:val="1"/>
        </w:rPr>
        <w:t>aHR</w:t>
      </w:r>
      <w:proofErr w:type="spellEnd"/>
      <w:r w:rsidR="0090707A" w:rsidRPr="0090707A">
        <w:rPr>
          <w:rFonts w:cs="Calibri"/>
          <w:bCs/>
          <w:kern w:val="1"/>
        </w:rPr>
        <w:t>, 0.31; 95% CI, 0.17-0.57).</w:t>
      </w:r>
      <w:r w:rsidR="005F52CC">
        <w:rPr>
          <w:bCs/>
          <w:kern w:val="1"/>
          <w:szCs w:val="22"/>
          <w:lang w:eastAsia="ar-SA"/>
        </w:rPr>
        <w:t xml:space="preserve">  </w:t>
      </w:r>
    </w:p>
    <w:p w14:paraId="7E0DFC07" w14:textId="09B91A80" w:rsidR="00570994" w:rsidRPr="00570994" w:rsidRDefault="00570994" w:rsidP="00570994">
      <w:pPr>
        <w:suppressAutoHyphens/>
        <w:spacing w:line="480" w:lineRule="auto"/>
        <w:jc w:val="both"/>
        <w:rPr>
          <w:bCs/>
          <w:kern w:val="24"/>
          <w:szCs w:val="22"/>
          <w:lang w:val="en-GB"/>
        </w:rPr>
      </w:pPr>
      <w:r w:rsidRPr="00570994">
        <w:rPr>
          <w:b/>
          <w:bCs/>
          <w:kern w:val="1"/>
          <w:szCs w:val="22"/>
          <w:lang w:eastAsia="ar-SA"/>
        </w:rPr>
        <w:t>Conclusions:</w:t>
      </w:r>
      <w:r w:rsidR="00EE46AE" w:rsidRPr="00EE46AE">
        <w:t xml:space="preserve"> </w:t>
      </w:r>
      <w:r w:rsidR="0090707A" w:rsidRPr="0090707A">
        <w:rPr>
          <w:bCs/>
          <w:kern w:val="1"/>
          <w:szCs w:val="22"/>
          <w:lang w:eastAsia="ar-SA"/>
        </w:rPr>
        <w:t xml:space="preserve">Dynamic measurement of </w:t>
      </w:r>
      <w:proofErr w:type="spellStart"/>
      <w:r w:rsidR="0090707A" w:rsidRPr="0090707A">
        <w:rPr>
          <w:bCs/>
          <w:kern w:val="1"/>
          <w:szCs w:val="22"/>
          <w:lang w:eastAsia="ar-SA"/>
        </w:rPr>
        <w:t>HBcrAg</w:t>
      </w:r>
      <w:proofErr w:type="spellEnd"/>
      <w:r w:rsidR="0090707A" w:rsidRPr="0090707A">
        <w:rPr>
          <w:bCs/>
          <w:kern w:val="1"/>
          <w:szCs w:val="22"/>
          <w:lang w:eastAsia="ar-SA"/>
        </w:rPr>
        <w:t xml:space="preserve"> after NA cessation is predictive of subsequent CR and may be useful to guide post-treatment monitoring.</w:t>
      </w:r>
      <w:r w:rsidR="00714B0A">
        <w:rPr>
          <w:rFonts w:cs="Calibri"/>
          <w:bCs/>
          <w:kern w:val="1"/>
          <w:szCs w:val="22"/>
        </w:rPr>
        <w:t xml:space="preserve"> </w:t>
      </w:r>
    </w:p>
    <w:p w14:paraId="798A8FB6" w14:textId="77777777" w:rsidR="00570994" w:rsidRPr="00570994" w:rsidRDefault="00570994" w:rsidP="00570994">
      <w:pPr>
        <w:spacing w:line="480" w:lineRule="auto"/>
        <w:ind w:rightChars="-24" w:right="-58"/>
        <w:jc w:val="both"/>
        <w:rPr>
          <w:rFonts w:cs="Calibri"/>
          <w:b/>
          <w:bCs/>
          <w:kern w:val="1"/>
          <w:szCs w:val="22"/>
          <w:lang w:val="en-GB" w:eastAsia="ar-SA"/>
        </w:rPr>
      </w:pPr>
    </w:p>
    <w:p w14:paraId="6AD17079" w14:textId="671AF623" w:rsidR="0090707A" w:rsidRDefault="00570994" w:rsidP="00570994">
      <w:pPr>
        <w:spacing w:line="480" w:lineRule="auto"/>
        <w:rPr>
          <w:rFonts w:cs="Calibri"/>
          <w:bCs/>
          <w:kern w:val="1"/>
          <w:szCs w:val="22"/>
          <w:lang w:eastAsia="ar-SA"/>
        </w:rPr>
        <w:sectPr w:rsidR="0090707A" w:rsidSect="007B5678">
          <w:pgSz w:w="11906" w:h="16838" w:code="9"/>
          <w:pgMar w:top="1440" w:right="1758" w:bottom="1440" w:left="1758" w:header="851" w:footer="992" w:gutter="0"/>
          <w:lnNumType w:countBy="1" w:restart="continuous"/>
          <w:cols w:space="425"/>
          <w:docGrid w:type="linesAndChars" w:linePitch="360"/>
        </w:sectPr>
      </w:pPr>
      <w:r w:rsidRPr="00570994">
        <w:rPr>
          <w:rFonts w:cs="Calibri"/>
          <w:b/>
          <w:bCs/>
          <w:kern w:val="1"/>
          <w:szCs w:val="22"/>
          <w:lang w:eastAsia="ar-SA"/>
        </w:rPr>
        <w:t xml:space="preserve">Keywords: </w:t>
      </w:r>
      <w:r w:rsidR="0090707A" w:rsidRPr="0090707A">
        <w:rPr>
          <w:rFonts w:cs="Calibri"/>
          <w:bCs/>
          <w:kern w:val="1"/>
          <w:szCs w:val="22"/>
          <w:lang w:eastAsia="ar-SA"/>
        </w:rPr>
        <w:t>chronic hepatitis B; finite nucleos(t)ide analog therapy; hepatitis B core-related antigen</w:t>
      </w:r>
      <w:r w:rsidR="00A32D23">
        <w:rPr>
          <w:rFonts w:cs="Calibri"/>
          <w:bCs/>
          <w:kern w:val="1"/>
          <w:szCs w:val="22"/>
          <w:lang w:eastAsia="ar-SA"/>
        </w:rPr>
        <w:t xml:space="preserve"> </w:t>
      </w:r>
      <w:r w:rsidR="00AC38A6" w:rsidRPr="00AC38A6">
        <w:rPr>
          <w:rFonts w:cs="Calibri"/>
          <w:bCs/>
          <w:kern w:val="1"/>
          <w:szCs w:val="22"/>
          <w:lang w:eastAsia="ar-SA"/>
        </w:rPr>
        <w:t xml:space="preserve"> </w:t>
      </w:r>
      <w:r w:rsidR="00EE46AE" w:rsidRPr="00EE46AE">
        <w:rPr>
          <w:rFonts w:cs="Calibri"/>
          <w:bCs/>
          <w:kern w:val="1"/>
          <w:szCs w:val="22"/>
          <w:lang w:eastAsia="ar-SA"/>
        </w:rPr>
        <w:t xml:space="preserve"> </w:t>
      </w:r>
    </w:p>
    <w:p w14:paraId="53B831AD" w14:textId="28CFCF5B" w:rsidR="00570994" w:rsidRPr="00D67B21" w:rsidRDefault="00570994" w:rsidP="00570994">
      <w:pPr>
        <w:spacing w:line="480" w:lineRule="auto"/>
        <w:rPr>
          <w:bCs/>
          <w:caps/>
        </w:rPr>
      </w:pPr>
      <w:r w:rsidRPr="00D67B21">
        <w:rPr>
          <w:rFonts w:hint="eastAsia"/>
          <w:b/>
          <w:bCs/>
          <w:caps/>
        </w:rPr>
        <w:lastRenderedPageBreak/>
        <w:t xml:space="preserve">Introduction </w:t>
      </w:r>
    </w:p>
    <w:p w14:paraId="66ABCB30" w14:textId="77777777" w:rsidR="00AF24A9" w:rsidRDefault="00AF24A9" w:rsidP="00AF24A9">
      <w:pPr>
        <w:spacing w:line="480" w:lineRule="auto"/>
        <w:ind w:rightChars="-24" w:right="-58"/>
        <w:jc w:val="both"/>
      </w:pPr>
      <w:r>
        <w:t xml:space="preserve">Nucleos(t)ide analogs (NA) suppresses the replication of HBV by inhibiting the viral reverse transcriptase, thereby reducing hepatic inflammation, other liver-related comorbidities and hepatocellular carcinoma (HCC).(1-3) However, the ideal treatment endpoint, i.e., hepatitis B surface antigen (HBsAg) seroclearance, is rarely achieved during NA treatment.(4, 5) Most patients who remained HBsAg-positive experienced viral relapse after stopping NA. Hepatitis flares can occur following viral relapse, and severe acute exacerbations can lead to fatal consequences in some patients.(6, 7) Nevertheless, a limited number of studies have reported high HBsAg seroclearance rates after cessation of NA(8, 9) and ex vivo studies also indicate that HBV-specific T cell responses could be enhanced by discontinuing treatment with viral suppressants.(10, 11) Thus, identification of groups of patients with chronic hepatitis B (CHB) who need to maintain NA or who can safely discontinue NA is an important yet unresolved issue. </w:t>
      </w:r>
    </w:p>
    <w:p w14:paraId="679ECD6C" w14:textId="77777777" w:rsidR="00AF24A9" w:rsidRDefault="00AF24A9" w:rsidP="00AF24A9">
      <w:pPr>
        <w:spacing w:line="480" w:lineRule="auto"/>
        <w:ind w:rightChars="-24" w:right="-58"/>
        <w:jc w:val="both"/>
      </w:pPr>
    </w:p>
    <w:p w14:paraId="6889BA86" w14:textId="523B9208" w:rsidR="007B5678" w:rsidRDefault="00AF24A9" w:rsidP="00AF24A9">
      <w:pPr>
        <w:spacing w:line="480" w:lineRule="auto"/>
        <w:ind w:rightChars="-24" w:right="-58"/>
        <w:jc w:val="both"/>
      </w:pPr>
      <w:proofErr w:type="spellStart"/>
      <w:r>
        <w:t>HBcrAg</w:t>
      </w:r>
      <w:proofErr w:type="spellEnd"/>
      <w:r>
        <w:t xml:space="preserve"> is a potentially novel and useful biomarker that includes the hepatitis B core antigen (</w:t>
      </w:r>
      <w:proofErr w:type="spellStart"/>
      <w:r>
        <w:t>HBcAg</w:t>
      </w:r>
      <w:proofErr w:type="spellEnd"/>
      <w:r>
        <w:t xml:space="preserve">), hepatitis B e antigen (HBeAg), and a truncated </w:t>
      </w:r>
      <w:proofErr w:type="spellStart"/>
      <w:r>
        <w:t>precore</w:t>
      </w:r>
      <w:proofErr w:type="spellEnd"/>
      <w:r>
        <w:t xml:space="preserve"> protein (p22Cr).(12) Serum </w:t>
      </w:r>
      <w:proofErr w:type="spellStart"/>
      <w:r>
        <w:t>HBcrAg</w:t>
      </w:r>
      <w:proofErr w:type="spellEnd"/>
      <w:r>
        <w:t xml:space="preserve"> level correlates with nuclear cccDNA activity, and could be used to predict HBeAg seroconversion, sustained treatment response to NA, and the risk of development or recurrence of HCC.(13-16) Prior studies have demonstrated that </w:t>
      </w:r>
      <w:r>
        <w:lastRenderedPageBreak/>
        <w:t xml:space="preserve">serum </w:t>
      </w:r>
      <w:proofErr w:type="spellStart"/>
      <w:r>
        <w:t>HBcrAg</w:t>
      </w:r>
      <w:proofErr w:type="spellEnd"/>
      <w:r>
        <w:t xml:space="preserve"> level at the time of NA cessation is useful for predicting off-therapy relapse and identifying patients for whom NA discontinuation may be potentially suitable.(17-19) However, the levels of </w:t>
      </w:r>
      <w:proofErr w:type="spellStart"/>
      <w:r>
        <w:t>HBcrAg</w:t>
      </w:r>
      <w:proofErr w:type="spellEnd"/>
      <w:r>
        <w:t xml:space="preserve"> can change after cessation of treatment, and it is unclear whether dynamic measurements of </w:t>
      </w:r>
      <w:proofErr w:type="spellStart"/>
      <w:r>
        <w:t>HBcrAg</w:t>
      </w:r>
      <w:proofErr w:type="spellEnd"/>
      <w:r>
        <w:t xml:space="preserve"> off-therapy may better predict subsequent CR than the fixed </w:t>
      </w:r>
      <w:proofErr w:type="spellStart"/>
      <w:r>
        <w:t>HBcrAg</w:t>
      </w:r>
      <w:proofErr w:type="spellEnd"/>
      <w:r>
        <w:t xml:space="preserve"> level measured at EOT. Moreover, the relationship between serial changes in </w:t>
      </w:r>
      <w:proofErr w:type="spellStart"/>
      <w:r>
        <w:t>HBcrAg</w:t>
      </w:r>
      <w:proofErr w:type="spellEnd"/>
      <w:r>
        <w:t xml:space="preserve"> after NA cessation and the risk of relapse remains unknown. Thus, this study retrospectively used data and biospecimens collected from a multicenter, prospectively enrolled patient cohort to serially measure </w:t>
      </w:r>
      <w:proofErr w:type="spellStart"/>
      <w:r>
        <w:t>HBcrAg</w:t>
      </w:r>
      <w:proofErr w:type="spellEnd"/>
      <w:r>
        <w:t xml:space="preserve"> levels off therapy and to clarify the associations between dynamic off-therapy </w:t>
      </w:r>
      <w:proofErr w:type="spellStart"/>
      <w:r>
        <w:t>HBcrAg</w:t>
      </w:r>
      <w:proofErr w:type="spellEnd"/>
      <w:r>
        <w:t xml:space="preserve"> levels and subsequent CR after NA discontinuation.</w:t>
      </w:r>
    </w:p>
    <w:p w14:paraId="06C58518" w14:textId="77777777" w:rsidR="007B5678" w:rsidRPr="007B5678" w:rsidRDefault="007B5678" w:rsidP="007B5678">
      <w:pPr>
        <w:spacing w:line="480" w:lineRule="auto"/>
        <w:ind w:rightChars="-24" w:right="-58"/>
        <w:jc w:val="both"/>
        <w:rPr>
          <w:b/>
          <w:bCs/>
        </w:rPr>
      </w:pPr>
    </w:p>
    <w:p w14:paraId="628F9819" w14:textId="78499A78" w:rsidR="007B5678" w:rsidRPr="007B5678" w:rsidRDefault="007B5678" w:rsidP="007B5678">
      <w:pPr>
        <w:spacing w:line="480" w:lineRule="auto"/>
        <w:ind w:rightChars="-24" w:right="-58"/>
        <w:jc w:val="both"/>
        <w:rPr>
          <w:b/>
          <w:bCs/>
        </w:rPr>
      </w:pPr>
      <w:r w:rsidRPr="007B5678">
        <w:rPr>
          <w:rFonts w:hint="eastAsia"/>
          <w:b/>
          <w:bCs/>
        </w:rPr>
        <w:t>H</w:t>
      </w:r>
      <w:r w:rsidRPr="007B5678">
        <w:rPr>
          <w:b/>
          <w:bCs/>
        </w:rPr>
        <w:t>ypothesis</w:t>
      </w:r>
    </w:p>
    <w:p w14:paraId="39CAE1A1" w14:textId="0B2DA78D" w:rsidR="007B5678" w:rsidRDefault="00AF24A9" w:rsidP="007B5678">
      <w:pPr>
        <w:spacing w:line="480" w:lineRule="auto"/>
        <w:ind w:rightChars="-24" w:right="-58"/>
        <w:jc w:val="both"/>
      </w:pPr>
      <w:r w:rsidRPr="00AF24A9">
        <w:t xml:space="preserve">Dynamic measurement of serum </w:t>
      </w:r>
      <w:proofErr w:type="spellStart"/>
      <w:r w:rsidRPr="00AF24A9">
        <w:t>HBcrAg</w:t>
      </w:r>
      <w:proofErr w:type="spellEnd"/>
      <w:r w:rsidRPr="00AF24A9">
        <w:t xml:space="preserve"> levels after cessation of NA therapy is associated with risk of clinical relapse</w:t>
      </w:r>
    </w:p>
    <w:p w14:paraId="373EC291" w14:textId="77777777" w:rsidR="007B5678" w:rsidRDefault="007B5678" w:rsidP="007B5678">
      <w:pPr>
        <w:spacing w:line="480" w:lineRule="auto"/>
        <w:ind w:rightChars="-24" w:right="-58"/>
        <w:jc w:val="both"/>
      </w:pPr>
    </w:p>
    <w:p w14:paraId="7DBB0FC9" w14:textId="2958AD26" w:rsidR="007B5678" w:rsidRPr="007B5678" w:rsidRDefault="007B5678" w:rsidP="007B5678">
      <w:pPr>
        <w:spacing w:line="480" w:lineRule="auto"/>
        <w:ind w:rightChars="-24" w:right="-58"/>
        <w:jc w:val="both"/>
        <w:rPr>
          <w:b/>
          <w:bCs/>
        </w:rPr>
      </w:pPr>
      <w:r w:rsidRPr="007B5678">
        <w:rPr>
          <w:b/>
          <w:bCs/>
        </w:rPr>
        <w:t>Primary aim</w:t>
      </w:r>
    </w:p>
    <w:p w14:paraId="31B38359" w14:textId="5956629A" w:rsidR="0027264E" w:rsidRDefault="0027264E" w:rsidP="0027264E">
      <w:pPr>
        <w:spacing w:line="480" w:lineRule="auto"/>
        <w:ind w:rightChars="-24" w:right="-58"/>
        <w:jc w:val="both"/>
      </w:pPr>
      <w:r>
        <w:rPr>
          <w:rFonts w:hint="eastAsia"/>
        </w:rPr>
        <w:t>To</w:t>
      </w:r>
      <w:r>
        <w:t xml:space="preserve"> clarify t</w:t>
      </w:r>
      <w:r>
        <w:t xml:space="preserve">he association between dynamics of </w:t>
      </w:r>
      <w:proofErr w:type="spellStart"/>
      <w:r>
        <w:t>HBcrAg</w:t>
      </w:r>
      <w:proofErr w:type="spellEnd"/>
      <w:r>
        <w:t xml:space="preserve"> level and relapse risk</w:t>
      </w:r>
    </w:p>
    <w:p w14:paraId="62936EBB" w14:textId="77777777" w:rsidR="007B5678" w:rsidRDefault="007B5678" w:rsidP="007B5678">
      <w:pPr>
        <w:spacing w:line="480" w:lineRule="auto"/>
        <w:ind w:rightChars="-24" w:right="-58"/>
        <w:jc w:val="both"/>
      </w:pPr>
    </w:p>
    <w:p w14:paraId="4D0BD77F" w14:textId="0B9A0E41" w:rsidR="007B5678" w:rsidRPr="007B5678" w:rsidRDefault="007B5678" w:rsidP="007B5678">
      <w:pPr>
        <w:spacing w:line="480" w:lineRule="auto"/>
        <w:ind w:rightChars="-24" w:right="-58"/>
        <w:jc w:val="both"/>
        <w:rPr>
          <w:b/>
          <w:bCs/>
        </w:rPr>
      </w:pPr>
      <w:r w:rsidRPr="007B5678">
        <w:rPr>
          <w:rFonts w:hint="eastAsia"/>
          <w:b/>
          <w:bCs/>
        </w:rPr>
        <w:t>S</w:t>
      </w:r>
      <w:r w:rsidRPr="007B5678">
        <w:rPr>
          <w:b/>
          <w:bCs/>
        </w:rPr>
        <w:t>econdary aims</w:t>
      </w:r>
    </w:p>
    <w:p w14:paraId="5EA73845" w14:textId="66606B52" w:rsidR="0027264E" w:rsidRDefault="007B5678" w:rsidP="0027264E">
      <w:pPr>
        <w:spacing w:line="480" w:lineRule="auto"/>
        <w:ind w:rightChars="-24" w:right="-58"/>
        <w:jc w:val="both"/>
      </w:pPr>
      <w:r>
        <w:lastRenderedPageBreak/>
        <w:t xml:space="preserve">- </w:t>
      </w:r>
      <w:r w:rsidR="0027264E">
        <w:t>To elucidate t</w:t>
      </w:r>
      <w:r w:rsidR="0027264E">
        <w:t xml:space="preserve">he association between serial changes in </w:t>
      </w:r>
      <w:proofErr w:type="spellStart"/>
      <w:r w:rsidR="0027264E">
        <w:t>HBcrAg</w:t>
      </w:r>
      <w:proofErr w:type="spellEnd"/>
      <w:r w:rsidR="0027264E">
        <w:t xml:space="preserve"> level and relapse risk</w:t>
      </w:r>
    </w:p>
    <w:p w14:paraId="5C784D21" w14:textId="6E3E6078" w:rsidR="007B5678" w:rsidRDefault="0027264E" w:rsidP="0027264E">
      <w:pPr>
        <w:spacing w:line="480" w:lineRule="auto"/>
        <w:ind w:rightChars="-24" w:right="-58"/>
        <w:jc w:val="both"/>
      </w:pPr>
      <w:r>
        <w:t>- To investigate the p</w:t>
      </w:r>
      <w:r>
        <w:t xml:space="preserve">redictive performance of </w:t>
      </w:r>
      <w:proofErr w:type="spellStart"/>
      <w:r>
        <w:t>HBcrAg</w:t>
      </w:r>
      <w:proofErr w:type="spellEnd"/>
      <w:r>
        <w:t xml:space="preserve"> level &lt;1,000 U/mL as the cutoff</w:t>
      </w:r>
    </w:p>
    <w:p w14:paraId="1881672D" w14:textId="77777777" w:rsidR="0027264E" w:rsidRDefault="0027264E" w:rsidP="0027264E">
      <w:pPr>
        <w:spacing w:line="480" w:lineRule="auto"/>
        <w:ind w:rightChars="-24" w:right="-58"/>
        <w:jc w:val="both"/>
      </w:pPr>
    </w:p>
    <w:p w14:paraId="0E33D8D6" w14:textId="0DB4883D" w:rsidR="007B5678" w:rsidRPr="007B5678" w:rsidRDefault="007B5678" w:rsidP="007B5678">
      <w:pPr>
        <w:spacing w:line="480" w:lineRule="auto"/>
        <w:ind w:rightChars="-24" w:right="-58"/>
        <w:jc w:val="both"/>
        <w:rPr>
          <w:b/>
          <w:bCs/>
        </w:rPr>
      </w:pPr>
      <w:r w:rsidRPr="007B5678">
        <w:rPr>
          <w:rFonts w:hint="eastAsia"/>
          <w:b/>
          <w:bCs/>
        </w:rPr>
        <w:t>M</w:t>
      </w:r>
      <w:r w:rsidRPr="007B5678">
        <w:rPr>
          <w:b/>
          <w:bCs/>
        </w:rPr>
        <w:t xml:space="preserve">ethods and Materials </w:t>
      </w:r>
    </w:p>
    <w:p w14:paraId="0EA43C8A" w14:textId="77777777" w:rsidR="0027264E" w:rsidRPr="0027264E" w:rsidRDefault="0027264E" w:rsidP="0027264E">
      <w:pPr>
        <w:spacing w:line="480" w:lineRule="auto"/>
        <w:ind w:rightChars="-24" w:right="-58"/>
        <w:jc w:val="both"/>
      </w:pPr>
      <w:r w:rsidRPr="0027264E">
        <w:rPr>
          <w:b/>
          <w:bCs/>
          <w:i/>
          <w:iCs/>
        </w:rPr>
        <w:t>Design and setting</w:t>
      </w:r>
    </w:p>
    <w:p w14:paraId="4DB34210" w14:textId="77777777" w:rsidR="0027264E" w:rsidRPr="0027264E" w:rsidRDefault="0027264E" w:rsidP="0027264E">
      <w:pPr>
        <w:spacing w:line="480" w:lineRule="auto"/>
        <w:ind w:rightChars="-24" w:right="-58"/>
        <w:jc w:val="both"/>
      </w:pPr>
      <w:r w:rsidRPr="0027264E">
        <w:t xml:space="preserve">This was a retrospective analysis based on a prospective multicenter cohort study conducted in three teaching hospitals (E-Da Hospital, Kaohsiung, </w:t>
      </w:r>
      <w:proofErr w:type="spellStart"/>
      <w:r w:rsidRPr="0027264E">
        <w:t>Lotung</w:t>
      </w:r>
      <w:proofErr w:type="spellEnd"/>
      <w:r w:rsidRPr="0027264E">
        <w:t xml:space="preserve"> </w:t>
      </w:r>
      <w:proofErr w:type="spellStart"/>
      <w:r w:rsidRPr="0027264E">
        <w:t>Poh</w:t>
      </w:r>
      <w:proofErr w:type="spellEnd"/>
      <w:r w:rsidRPr="0027264E">
        <w:t xml:space="preserve">-Ai Hospital, </w:t>
      </w:r>
      <w:proofErr w:type="spellStart"/>
      <w:r w:rsidRPr="0027264E">
        <w:t>Yilan</w:t>
      </w:r>
      <w:proofErr w:type="spellEnd"/>
      <w:r w:rsidRPr="0027264E">
        <w:t xml:space="preserve">, and National Taiwan University Hospital Yun-Lin Branch, Yunlin) in Taiwan. Adult (age &gt; 20 years) CHB patients without cirrhosis who discontinued NA therapy using either entecavir or tenofovir were assessed for eligibility. </w:t>
      </w:r>
    </w:p>
    <w:p w14:paraId="70FA4809" w14:textId="77777777" w:rsidR="0027264E" w:rsidRPr="0027264E" w:rsidRDefault="0027264E" w:rsidP="0027264E">
      <w:pPr>
        <w:spacing w:line="480" w:lineRule="auto"/>
        <w:ind w:rightChars="-24" w:right="-58"/>
        <w:jc w:val="both"/>
      </w:pPr>
    </w:p>
    <w:p w14:paraId="4CAA7482" w14:textId="77777777" w:rsidR="0027264E" w:rsidRPr="0027264E" w:rsidRDefault="0027264E" w:rsidP="0027264E">
      <w:pPr>
        <w:spacing w:line="480" w:lineRule="auto"/>
        <w:ind w:rightChars="-24" w:right="-58"/>
        <w:jc w:val="both"/>
      </w:pPr>
      <w:r w:rsidRPr="0027264E">
        <w:rPr>
          <w:b/>
          <w:bCs/>
          <w:i/>
          <w:iCs/>
        </w:rPr>
        <w:t xml:space="preserve">Study participants </w:t>
      </w:r>
    </w:p>
    <w:p w14:paraId="42448727" w14:textId="77777777" w:rsidR="0027264E" w:rsidRPr="0027264E" w:rsidRDefault="0027264E" w:rsidP="0027264E">
      <w:pPr>
        <w:spacing w:line="480" w:lineRule="auto"/>
        <w:ind w:rightChars="-24" w:right="-58"/>
        <w:jc w:val="both"/>
      </w:pPr>
      <w:r w:rsidRPr="0027264E">
        <w:t xml:space="preserve">In the initial cohort, adult patients with CHB who were going to discontinue NA therapy between July 1, 2011 and April 1, 2015 were screened. Patients were included if they had been diagnosed with CHB for at least 6 months prior to NA treatment, continuously received any NA (lamivudine, adefovir, telbivudine, entecavir, or tenofovir) for at least 3 years, were serologically negative for HBeAg, and showed undetectable levels of HBV DNA at the end of NA therapy. Patients were excluded in the presence of coinfection with human immunodeficiency virus or hepatitis C virus, any malignancy, liver cirrhosis, </w:t>
      </w:r>
      <w:r w:rsidRPr="0027264E">
        <w:lastRenderedPageBreak/>
        <w:t xml:space="preserve">hepatic encephalopathy, variceal hemorrhage, organ transplantation, previous use of interferon alpha for 1 month or longer, and concurrent use of cytotoxic or immunosuppressive medication. The diagnosis of liver cirrhosis was based on pathological proof or clinical criteria that included splenomegaly or esophagogastric varices in addition to typical sonographic features. </w:t>
      </w:r>
    </w:p>
    <w:p w14:paraId="5A01BA88" w14:textId="77777777" w:rsidR="0027264E" w:rsidRPr="0027264E" w:rsidRDefault="0027264E" w:rsidP="0027264E">
      <w:pPr>
        <w:spacing w:line="480" w:lineRule="auto"/>
        <w:ind w:rightChars="-24" w:right="-58"/>
        <w:jc w:val="both"/>
      </w:pPr>
    </w:p>
    <w:p w14:paraId="0F5DEBAB" w14:textId="77777777" w:rsidR="0027264E" w:rsidRPr="0027264E" w:rsidRDefault="0027264E" w:rsidP="0027264E">
      <w:pPr>
        <w:spacing w:line="480" w:lineRule="auto"/>
        <w:ind w:rightChars="-24" w:right="-58"/>
        <w:jc w:val="both"/>
      </w:pPr>
      <w:r w:rsidRPr="0027264E">
        <w:t>In the current study, we only include patients who discontinued NA therapy using either entecavir or tenofovir. Eligible patients had been treated for at least 2 years with HBeAg-serology confirmed to be negative and serum HBV DNA undetectable at treatment cessation.</w:t>
      </w:r>
    </w:p>
    <w:p w14:paraId="2126C70E" w14:textId="77777777" w:rsidR="0027264E" w:rsidRPr="0027264E" w:rsidRDefault="0027264E" w:rsidP="0027264E">
      <w:pPr>
        <w:spacing w:line="480" w:lineRule="auto"/>
        <w:ind w:rightChars="-24" w:right="-58"/>
        <w:jc w:val="both"/>
      </w:pPr>
    </w:p>
    <w:p w14:paraId="67AF25F2" w14:textId="77777777" w:rsidR="0027264E" w:rsidRPr="0027264E" w:rsidRDefault="0027264E" w:rsidP="0027264E">
      <w:pPr>
        <w:spacing w:line="480" w:lineRule="auto"/>
        <w:ind w:rightChars="-24" w:right="-58"/>
        <w:jc w:val="both"/>
      </w:pPr>
      <w:r w:rsidRPr="0027264E">
        <w:rPr>
          <w:b/>
          <w:bCs/>
          <w:i/>
          <w:iCs/>
        </w:rPr>
        <w:t xml:space="preserve">Follow-up after treatment cessation </w:t>
      </w:r>
    </w:p>
    <w:p w14:paraId="454FA827" w14:textId="77777777" w:rsidR="0027264E" w:rsidRPr="0027264E" w:rsidRDefault="0027264E" w:rsidP="0027264E">
      <w:pPr>
        <w:spacing w:line="480" w:lineRule="auto"/>
        <w:ind w:rightChars="-24" w:right="-58"/>
        <w:jc w:val="both"/>
      </w:pPr>
      <w:r w:rsidRPr="0027264E">
        <w:t xml:space="preserve">Pertinent demographic, biochemical, serological, and virological data were collected at enrollment. After discontinuation of NAs, patients were monitored at a close interval of 3 months. The patients underwent physical checkup and laboratory measurement at each follow-up visit. They also underwent abdominal sonography along with serum alpha-fetoprotein estimation tests every 6 months for the surveillance of liver cancer. </w:t>
      </w:r>
    </w:p>
    <w:p w14:paraId="1BF2C7F2" w14:textId="77777777" w:rsidR="0027264E" w:rsidRPr="0027264E" w:rsidRDefault="0027264E" w:rsidP="0027264E">
      <w:pPr>
        <w:spacing w:line="480" w:lineRule="auto"/>
        <w:ind w:rightChars="-24" w:right="-58"/>
        <w:jc w:val="both"/>
      </w:pPr>
    </w:p>
    <w:p w14:paraId="4BED5858" w14:textId="77777777" w:rsidR="0027264E" w:rsidRPr="0027264E" w:rsidRDefault="0027264E" w:rsidP="0027264E">
      <w:pPr>
        <w:spacing w:line="480" w:lineRule="auto"/>
        <w:ind w:rightChars="-24" w:right="-58"/>
        <w:jc w:val="both"/>
      </w:pPr>
      <w:r w:rsidRPr="0027264E">
        <w:t xml:space="preserve">Serum levels of </w:t>
      </w:r>
      <w:proofErr w:type="spellStart"/>
      <w:r w:rsidRPr="0027264E">
        <w:t>HBcrAg</w:t>
      </w:r>
      <w:proofErr w:type="spellEnd"/>
      <w:r w:rsidRPr="0027264E">
        <w:t xml:space="preserve"> were quantitatively analyzed upon the end of treatment, one </w:t>
      </w:r>
      <w:r w:rsidRPr="0027264E">
        <w:lastRenderedPageBreak/>
        <w:t>year, and two years after treatment cessation, using a commercialized kit (</w:t>
      </w:r>
      <w:proofErr w:type="spellStart"/>
      <w:r w:rsidRPr="0027264E">
        <w:t>Lumipulse</w:t>
      </w:r>
      <w:proofErr w:type="spellEnd"/>
      <w:r w:rsidRPr="0027264E">
        <w:t xml:space="preserve"> </w:t>
      </w:r>
      <w:proofErr w:type="spellStart"/>
      <w:r w:rsidRPr="0027264E">
        <w:t>HBcrAg</w:t>
      </w:r>
      <w:proofErr w:type="spellEnd"/>
      <w:r w:rsidRPr="0027264E">
        <w:t>; Fuji-Rebio, Tokyo, Japan). Serum HBsAg levels were measured through an automated immunoassay (Abbott Architect i2000, Abbott Park, IL, USA). Samples with HBsAg levels exceeding the upper limit of automatic detection (250 IU/mL) were manually diluted before quantification. Serum HBV DNA was quantified through a commercialized polymerase chain reaction method (COBAS TaqMan HBV Test, version 2.0, Roche Molecular Systems, Inc., Branchburg, NJ, USA) with a detection range of 20–1.7 × 108 IU/</w:t>
      </w:r>
      <w:proofErr w:type="spellStart"/>
      <w:r w:rsidRPr="0027264E">
        <w:t>mL.</w:t>
      </w:r>
      <w:proofErr w:type="spellEnd"/>
    </w:p>
    <w:p w14:paraId="6B63021B" w14:textId="77777777" w:rsidR="0027264E" w:rsidRPr="0027264E" w:rsidRDefault="0027264E" w:rsidP="0027264E">
      <w:pPr>
        <w:spacing w:line="480" w:lineRule="auto"/>
        <w:ind w:rightChars="-24" w:right="-58"/>
        <w:jc w:val="both"/>
        <w:rPr>
          <w:b/>
          <w:bCs/>
          <w:i/>
          <w:iCs/>
        </w:rPr>
      </w:pPr>
    </w:p>
    <w:p w14:paraId="5054B35A" w14:textId="77777777" w:rsidR="0027264E" w:rsidRPr="0027264E" w:rsidRDefault="0027264E" w:rsidP="0027264E">
      <w:pPr>
        <w:spacing w:line="480" w:lineRule="auto"/>
        <w:ind w:rightChars="-24" w:right="-58"/>
        <w:jc w:val="both"/>
        <w:rPr>
          <w:b/>
          <w:bCs/>
          <w:i/>
          <w:iCs/>
        </w:rPr>
      </w:pPr>
      <w:r w:rsidRPr="0027264E">
        <w:rPr>
          <w:b/>
          <w:bCs/>
          <w:i/>
          <w:iCs/>
        </w:rPr>
        <w:t>Definitions of the study endpoints</w:t>
      </w:r>
    </w:p>
    <w:p w14:paraId="5C71731D" w14:textId="77777777" w:rsidR="0027264E" w:rsidRPr="0027264E" w:rsidRDefault="0027264E" w:rsidP="0027264E">
      <w:pPr>
        <w:spacing w:line="480" w:lineRule="auto"/>
        <w:ind w:rightChars="-24" w:right="-58"/>
        <w:jc w:val="both"/>
      </w:pPr>
      <w:r w:rsidRPr="0027264E">
        <w:t>The primary study outcome was clinical relapse and was defined as an episode of elevated ALT (&gt;80 IU/mL, &gt;2 times the normal conventional upper limit) and &gt;2000 IU/mL HBV DNA. Patients did not resume antiviral therapy until clinical hepatitis persisted for 3 months or longer, unless a risk of hepatic decompensation (serum bilirubin &gt;2 mg/dL or prothrombin time prolonged &gt;3 seconds) was observed.</w:t>
      </w:r>
    </w:p>
    <w:p w14:paraId="0759FD33" w14:textId="77777777" w:rsidR="0027264E" w:rsidRPr="0027264E" w:rsidRDefault="0027264E" w:rsidP="0027264E">
      <w:pPr>
        <w:spacing w:line="480" w:lineRule="auto"/>
        <w:ind w:rightChars="-24" w:right="-58"/>
        <w:jc w:val="both"/>
      </w:pPr>
    </w:p>
    <w:p w14:paraId="225342F4" w14:textId="77777777" w:rsidR="0027264E" w:rsidRPr="0027264E" w:rsidRDefault="0027264E" w:rsidP="0027264E">
      <w:pPr>
        <w:spacing w:line="480" w:lineRule="auto"/>
        <w:ind w:rightChars="-24" w:right="-58"/>
        <w:jc w:val="both"/>
        <w:rPr>
          <w:b/>
          <w:i/>
        </w:rPr>
      </w:pPr>
      <w:r w:rsidRPr="0027264E">
        <w:rPr>
          <w:b/>
          <w:i/>
        </w:rPr>
        <w:t xml:space="preserve">Statistical analysis </w:t>
      </w:r>
    </w:p>
    <w:p w14:paraId="77288CA9" w14:textId="6F3C51AC" w:rsidR="00823DAC" w:rsidRDefault="0027264E" w:rsidP="0027264E">
      <w:pPr>
        <w:spacing w:line="480" w:lineRule="auto"/>
        <w:ind w:rightChars="-24" w:right="-58"/>
        <w:jc w:val="both"/>
      </w:pPr>
      <w:r w:rsidRPr="0027264E">
        <w:t xml:space="preserve">Continuous and categorical variables were summarized using the median and interquartile range (IQR) and proportion with exact numbers, respectively. The incidence </w:t>
      </w:r>
      <w:r w:rsidRPr="0027264E">
        <w:lastRenderedPageBreak/>
        <w:t xml:space="preserve">rates of virological and clinical relapses were estimated using the Kaplan–Meier method. In a multivariate-adjusted Cox proportional hazards model for off-therapy relapses, the serum level of </w:t>
      </w:r>
      <w:proofErr w:type="spellStart"/>
      <w:r w:rsidRPr="0027264E">
        <w:t>HBcrAg</w:t>
      </w:r>
      <w:proofErr w:type="spellEnd"/>
      <w:r w:rsidRPr="0027264E">
        <w:t xml:space="preserve"> was a time-varying variable that denoted each measurement after NA cessation. The dose–response relationship for the association between </w:t>
      </w:r>
      <w:proofErr w:type="spellStart"/>
      <w:r w:rsidRPr="0027264E">
        <w:t>HBcrAg</w:t>
      </w:r>
      <w:proofErr w:type="spellEnd"/>
      <w:r w:rsidRPr="0027264E">
        <w:t xml:space="preserve"> levels and off-therapy relapses was illustrated by penalized splines in the Cox model. The results were reported as hazard ratios along with 95% confidence intervals (CIs). Data were analyzed using commercial software (Stata, version 13.0; Stata Corp, College Station, TX, USA). All statistical analyses were two-sided with significance set at P &lt; 0.05.</w:t>
      </w:r>
    </w:p>
    <w:p w14:paraId="51017DE6" w14:textId="00AC87E6" w:rsidR="00861DBB" w:rsidRDefault="00861DBB" w:rsidP="00861DBB">
      <w:pPr>
        <w:spacing w:line="480" w:lineRule="auto"/>
        <w:ind w:rightChars="-24" w:right="-58"/>
        <w:jc w:val="both"/>
      </w:pPr>
    </w:p>
    <w:p w14:paraId="2B39B906" w14:textId="77777777" w:rsidR="0027264E" w:rsidRPr="0027264E" w:rsidRDefault="0027264E" w:rsidP="0027264E">
      <w:pPr>
        <w:spacing w:line="480" w:lineRule="auto"/>
        <w:ind w:rightChars="-24" w:right="-58"/>
        <w:jc w:val="both"/>
        <w:rPr>
          <w:b/>
        </w:rPr>
      </w:pPr>
      <w:r w:rsidRPr="0027264E">
        <w:rPr>
          <w:b/>
        </w:rPr>
        <w:t>Results</w:t>
      </w:r>
    </w:p>
    <w:p w14:paraId="607BF757" w14:textId="77777777" w:rsidR="0027264E" w:rsidRPr="0027264E" w:rsidRDefault="0027264E" w:rsidP="0027264E">
      <w:pPr>
        <w:spacing w:line="480" w:lineRule="auto"/>
        <w:ind w:rightChars="-24" w:right="-58"/>
        <w:jc w:val="both"/>
        <w:rPr>
          <w:b/>
          <w:i/>
        </w:rPr>
      </w:pPr>
      <w:r w:rsidRPr="0027264E">
        <w:rPr>
          <w:b/>
          <w:i/>
        </w:rPr>
        <w:t>Baseline characteristics of the study participants</w:t>
      </w:r>
    </w:p>
    <w:p w14:paraId="0ECCAE7C" w14:textId="77777777" w:rsidR="0027264E" w:rsidRPr="0027264E" w:rsidRDefault="0027264E" w:rsidP="0027264E">
      <w:pPr>
        <w:spacing w:line="480" w:lineRule="auto"/>
        <w:ind w:rightChars="-24" w:right="-58"/>
        <w:jc w:val="both"/>
      </w:pPr>
      <w:r w:rsidRPr="0027264E">
        <w:t>This study included 156 male (76.8%) and 47 female (23.2%) patients with CHB who discontinued NA, with the median age of 49</w:t>
      </w:r>
      <w:r w:rsidRPr="0027264E">
        <w:rPr>
          <w:rFonts w:hint="eastAsia"/>
        </w:rPr>
        <w:t>.8</w:t>
      </w:r>
      <w:r w:rsidRPr="0027264E">
        <w:t xml:space="preserve"> years (IQR, 41.9, 59.0). Most patients (</w:t>
      </w:r>
      <w:r w:rsidRPr="0027264E">
        <w:rPr>
          <w:i/>
          <w:iCs/>
        </w:rPr>
        <w:t>n</w:t>
      </w:r>
      <w:r w:rsidRPr="0027264E">
        <w:t xml:space="preserve"> = 123, 60.6%) received entecavir and the median duration of treatment was 36</w:t>
      </w:r>
      <w:r w:rsidRPr="0027264E">
        <w:rPr>
          <w:rFonts w:hint="eastAsia"/>
        </w:rPr>
        <w:t>.9</w:t>
      </w:r>
      <w:r w:rsidRPr="0027264E">
        <w:t xml:space="preserve"> months (IQR, 36.5, 40.1). The EOT serum HBsAg was 2.7</w:t>
      </w:r>
      <w:r w:rsidRPr="0027264E">
        <w:rPr>
          <w:rFonts w:hint="eastAsia"/>
        </w:rPr>
        <w:t xml:space="preserve"> </w:t>
      </w:r>
      <w:r w:rsidRPr="0027264E">
        <w:t xml:space="preserve">(IQR, 2.0, 3.0) log IU/mL and the EOT serum </w:t>
      </w:r>
      <w:proofErr w:type="spellStart"/>
      <w:r w:rsidRPr="0027264E">
        <w:t>HBcrAg</w:t>
      </w:r>
      <w:proofErr w:type="spellEnd"/>
      <w:r w:rsidRPr="0027264E">
        <w:t xml:space="preserve"> was 3.0 (IQR, 2.0,</w:t>
      </w:r>
      <w:r w:rsidRPr="0027264E">
        <w:rPr>
          <w:rFonts w:hint="eastAsia"/>
        </w:rPr>
        <w:t xml:space="preserve"> </w:t>
      </w:r>
      <w:r w:rsidRPr="0027264E">
        <w:t xml:space="preserve">3.9) </w:t>
      </w:r>
      <w:bookmarkStart w:id="0" w:name="_Hlk140391200"/>
      <w:r w:rsidRPr="0027264E">
        <w:t>log U/mL</w:t>
      </w:r>
      <w:bookmarkEnd w:id="0"/>
      <w:r w:rsidRPr="0027264E">
        <w:t>, respectively. The median follow‐up time was 31.7 months (IQR, 16.7, 67.1) (</w:t>
      </w:r>
      <w:r w:rsidRPr="0027264E">
        <w:rPr>
          <w:b/>
          <w:bCs/>
        </w:rPr>
        <w:t>Table 1</w:t>
      </w:r>
      <w:r w:rsidRPr="0027264E">
        <w:t>).</w:t>
      </w:r>
    </w:p>
    <w:p w14:paraId="5D4E7169" w14:textId="77777777" w:rsidR="0027264E" w:rsidRPr="0027264E" w:rsidRDefault="0027264E" w:rsidP="0027264E">
      <w:pPr>
        <w:spacing w:line="480" w:lineRule="auto"/>
        <w:ind w:rightChars="-24" w:right="-58"/>
        <w:jc w:val="both"/>
      </w:pPr>
    </w:p>
    <w:p w14:paraId="2561A2FC" w14:textId="77777777" w:rsidR="0027264E" w:rsidRPr="0027264E" w:rsidRDefault="0027264E" w:rsidP="0027264E">
      <w:pPr>
        <w:spacing w:line="480" w:lineRule="auto"/>
        <w:ind w:rightChars="-24" w:right="-58"/>
        <w:jc w:val="both"/>
        <w:rPr>
          <w:b/>
          <w:i/>
        </w:rPr>
      </w:pPr>
      <w:r w:rsidRPr="0027264E">
        <w:rPr>
          <w:b/>
          <w:i/>
        </w:rPr>
        <w:lastRenderedPageBreak/>
        <w:t xml:space="preserve">CR after discontinuation of NA and association with EOT </w:t>
      </w:r>
      <w:proofErr w:type="spellStart"/>
      <w:r w:rsidRPr="0027264E">
        <w:rPr>
          <w:b/>
          <w:i/>
        </w:rPr>
        <w:t>HBcrAg</w:t>
      </w:r>
      <w:proofErr w:type="spellEnd"/>
      <w:r w:rsidRPr="0027264E">
        <w:rPr>
          <w:rFonts w:hint="eastAsia"/>
          <w:b/>
          <w:i/>
        </w:rPr>
        <w:t xml:space="preserve"> l</w:t>
      </w:r>
      <w:r w:rsidRPr="0027264E">
        <w:rPr>
          <w:b/>
          <w:i/>
        </w:rPr>
        <w:t>evel</w:t>
      </w:r>
    </w:p>
    <w:p w14:paraId="2DB66F38" w14:textId="77777777" w:rsidR="0027264E" w:rsidRPr="0027264E" w:rsidRDefault="0027264E" w:rsidP="0027264E">
      <w:pPr>
        <w:spacing w:line="480" w:lineRule="auto"/>
        <w:ind w:rightChars="-24" w:right="-58"/>
        <w:jc w:val="both"/>
      </w:pPr>
      <w:r w:rsidRPr="0027264E">
        <w:rPr>
          <w:rFonts w:hint="eastAsia"/>
        </w:rPr>
        <w:t>D</w:t>
      </w:r>
      <w:r w:rsidRPr="0027264E">
        <w:t xml:space="preserve">uring the follow‐up </w:t>
      </w:r>
      <w:r w:rsidRPr="0027264E">
        <w:rPr>
          <w:rFonts w:hint="eastAsia"/>
        </w:rPr>
        <w:t>p</w:t>
      </w:r>
      <w:r w:rsidRPr="0027264E">
        <w:t xml:space="preserve">eriod, </w:t>
      </w:r>
      <w:r w:rsidRPr="0027264E">
        <w:rPr>
          <w:rFonts w:hint="eastAsia"/>
        </w:rPr>
        <w:t>CR</w:t>
      </w:r>
      <w:r w:rsidRPr="0027264E">
        <w:t xml:space="preserve"> occurred in 104 patients with a cumulative incidence of </w:t>
      </w:r>
      <w:r w:rsidRPr="0027264E">
        <w:rPr>
          <w:rFonts w:hint="eastAsia"/>
        </w:rPr>
        <w:t>49.5</w:t>
      </w:r>
      <w:r w:rsidRPr="0027264E">
        <w:t>% (95% CI, 42</w:t>
      </w:r>
      <w:r w:rsidRPr="0027264E">
        <w:rPr>
          <w:rFonts w:hint="eastAsia"/>
        </w:rPr>
        <w:t>.2</w:t>
      </w:r>
      <w:r w:rsidRPr="0027264E">
        <w:t xml:space="preserve">% ‐ </w:t>
      </w:r>
      <w:r w:rsidRPr="0027264E">
        <w:rPr>
          <w:rFonts w:hint="eastAsia"/>
        </w:rPr>
        <w:t>56.7</w:t>
      </w:r>
      <w:r w:rsidRPr="0027264E">
        <w:t xml:space="preserve">%), </w:t>
      </w:r>
      <w:r w:rsidRPr="0027264E">
        <w:rPr>
          <w:rFonts w:hint="eastAsia"/>
        </w:rPr>
        <w:t>54.8</w:t>
      </w:r>
      <w:r w:rsidRPr="0027264E">
        <w:t>% (95% CI, 47</w:t>
      </w:r>
      <w:r w:rsidRPr="0027264E">
        <w:rPr>
          <w:rFonts w:hint="eastAsia"/>
        </w:rPr>
        <w:t>.1</w:t>
      </w:r>
      <w:r w:rsidRPr="0027264E">
        <w:t>% ‐ 62</w:t>
      </w:r>
      <w:r w:rsidRPr="0027264E">
        <w:rPr>
          <w:rFonts w:hint="eastAsia"/>
        </w:rPr>
        <w:t>.4</w:t>
      </w:r>
      <w:r w:rsidRPr="0027264E">
        <w:t xml:space="preserve">%) and </w:t>
      </w:r>
      <w:r w:rsidRPr="0027264E">
        <w:rPr>
          <w:rFonts w:hint="eastAsia"/>
        </w:rPr>
        <w:t>58.2</w:t>
      </w:r>
      <w:r w:rsidRPr="0027264E">
        <w:t>% (95% CI, 50</w:t>
      </w:r>
      <w:r w:rsidRPr="0027264E">
        <w:rPr>
          <w:rFonts w:hint="eastAsia"/>
        </w:rPr>
        <w:t>.1</w:t>
      </w:r>
      <w:r w:rsidRPr="0027264E">
        <w:t>%‐66</w:t>
      </w:r>
      <w:r w:rsidRPr="0027264E">
        <w:rPr>
          <w:rFonts w:hint="eastAsia"/>
        </w:rPr>
        <w:t>.0</w:t>
      </w:r>
      <w:r w:rsidRPr="0027264E">
        <w:t>%) at 3,</w:t>
      </w:r>
      <w:r w:rsidRPr="0027264E">
        <w:rPr>
          <w:rFonts w:hint="eastAsia"/>
        </w:rPr>
        <w:t xml:space="preserve"> </w:t>
      </w:r>
      <w:r w:rsidRPr="0027264E">
        <w:t>5, and</w:t>
      </w:r>
      <w:r w:rsidRPr="0027264E">
        <w:rPr>
          <w:rFonts w:hint="eastAsia"/>
        </w:rPr>
        <w:t xml:space="preserve"> </w:t>
      </w:r>
      <w:r w:rsidRPr="0027264E">
        <w:t>7 years, respectively (</w:t>
      </w:r>
      <w:r w:rsidRPr="0027264E">
        <w:rPr>
          <w:b/>
          <w:bCs/>
        </w:rPr>
        <w:t>Figure</w:t>
      </w:r>
      <w:r w:rsidRPr="0027264E">
        <w:rPr>
          <w:rFonts w:hint="eastAsia"/>
          <w:b/>
          <w:bCs/>
        </w:rPr>
        <w:t xml:space="preserve"> </w:t>
      </w:r>
      <w:r w:rsidRPr="0027264E">
        <w:rPr>
          <w:b/>
          <w:bCs/>
        </w:rPr>
        <w:t>1</w:t>
      </w:r>
      <w:r w:rsidRPr="0027264E">
        <w:t>). Eight patients</w:t>
      </w:r>
      <w:r w:rsidRPr="0027264E">
        <w:rPr>
          <w:rFonts w:hint="eastAsia"/>
        </w:rPr>
        <w:t xml:space="preserve"> </w:t>
      </w:r>
      <w:r w:rsidRPr="0027264E">
        <w:t xml:space="preserve">experienced hyperbilirubinemia with </w:t>
      </w:r>
      <w:r w:rsidRPr="0027264E">
        <w:rPr>
          <w:bCs/>
          <w:iCs/>
        </w:rPr>
        <w:t>serum</w:t>
      </w:r>
      <w:r w:rsidRPr="0027264E">
        <w:rPr>
          <w:rFonts w:hint="eastAsia"/>
          <w:bCs/>
          <w:iCs/>
        </w:rPr>
        <w:t xml:space="preserve"> </w:t>
      </w:r>
      <w:r w:rsidRPr="0027264E">
        <w:rPr>
          <w:bCs/>
          <w:iCs/>
        </w:rPr>
        <w:t xml:space="preserve">total bilirubin over 2 mg/dL after </w:t>
      </w:r>
      <w:r w:rsidRPr="0027264E">
        <w:rPr>
          <w:rFonts w:hint="eastAsia"/>
          <w:bCs/>
          <w:iCs/>
        </w:rPr>
        <w:t>CR</w:t>
      </w:r>
      <w:r w:rsidRPr="0027264E">
        <w:rPr>
          <w:bCs/>
          <w:iCs/>
        </w:rPr>
        <w:t xml:space="preserve">, but recovered fully after resumption of </w:t>
      </w:r>
      <w:r w:rsidRPr="0027264E">
        <w:t xml:space="preserve">NA therapy. </w:t>
      </w:r>
    </w:p>
    <w:p w14:paraId="4AD590BC" w14:textId="77777777" w:rsidR="0027264E" w:rsidRPr="0027264E" w:rsidRDefault="0027264E" w:rsidP="0027264E">
      <w:pPr>
        <w:spacing w:line="480" w:lineRule="auto"/>
        <w:ind w:rightChars="-24" w:right="-58"/>
        <w:jc w:val="both"/>
      </w:pPr>
    </w:p>
    <w:p w14:paraId="7E1E4A85" w14:textId="77777777" w:rsidR="0027264E" w:rsidRPr="0027264E" w:rsidRDefault="0027264E" w:rsidP="0027264E">
      <w:pPr>
        <w:spacing w:line="480" w:lineRule="auto"/>
        <w:ind w:rightChars="-24" w:right="-58"/>
        <w:jc w:val="both"/>
      </w:pPr>
      <w:r w:rsidRPr="0027264E">
        <w:rPr>
          <w:rFonts w:hint="eastAsia"/>
        </w:rPr>
        <w:t>Th</w:t>
      </w:r>
      <w:r w:rsidRPr="0027264E">
        <w:t xml:space="preserve">e lower limit of </w:t>
      </w:r>
      <w:proofErr w:type="spellStart"/>
      <w:r w:rsidRPr="0027264E">
        <w:t>HBcrAg</w:t>
      </w:r>
      <w:proofErr w:type="spellEnd"/>
      <w:r w:rsidRPr="0027264E">
        <w:t xml:space="preserve"> detection in the current study was</w:t>
      </w:r>
      <w:r w:rsidRPr="0027264E">
        <w:rPr>
          <w:rFonts w:hint="eastAsia"/>
        </w:rPr>
        <w:t xml:space="preserve"> 1</w:t>
      </w:r>
      <w:r w:rsidRPr="0027264E">
        <w:t>,</w:t>
      </w:r>
      <w:r w:rsidRPr="0027264E">
        <w:rPr>
          <w:rFonts w:hint="eastAsia"/>
        </w:rPr>
        <w:t xml:space="preserve">000 </w:t>
      </w:r>
      <w:r w:rsidRPr="0027264E">
        <w:t>U/</w:t>
      </w:r>
      <w:proofErr w:type="spellStart"/>
      <w:r w:rsidRPr="0027264E">
        <w:t>mL.</w:t>
      </w:r>
      <w:proofErr w:type="spellEnd"/>
      <w:r w:rsidRPr="0027264E">
        <w:t xml:space="preserve"> This value </w:t>
      </w:r>
      <w:r w:rsidRPr="0027264E">
        <w:rPr>
          <w:rFonts w:hint="eastAsia"/>
        </w:rPr>
        <w:t>w</w:t>
      </w:r>
      <w:r w:rsidRPr="0027264E">
        <w:t xml:space="preserve">as used </w:t>
      </w:r>
      <w:r w:rsidRPr="0027264E">
        <w:rPr>
          <w:rFonts w:hint="eastAsia"/>
        </w:rPr>
        <w:t>a</w:t>
      </w:r>
      <w:r w:rsidRPr="0027264E">
        <w:t>s the cutoff as suggested by the Japan Society of Hepatology (JSH) (</w:t>
      </w:r>
      <w:r w:rsidRPr="0027264E">
        <w:rPr>
          <w:rFonts w:hint="eastAsia"/>
        </w:rPr>
        <w:t>22</w:t>
      </w:r>
      <w:r w:rsidRPr="0027264E">
        <w:t>).</w:t>
      </w:r>
      <w:r w:rsidRPr="0027264E">
        <w:rPr>
          <w:rFonts w:hint="eastAsia"/>
        </w:rPr>
        <w:t xml:space="preserve"> </w:t>
      </w:r>
      <w:bookmarkStart w:id="1" w:name="_Hlk116934521"/>
      <w:r w:rsidRPr="0027264E">
        <w:t xml:space="preserve">The incidence of </w:t>
      </w:r>
      <w:r w:rsidRPr="0027264E">
        <w:rPr>
          <w:rFonts w:hint="eastAsia"/>
        </w:rPr>
        <w:t>CR</w:t>
      </w:r>
      <w:r w:rsidRPr="0027264E">
        <w:t xml:space="preserve"> was significantly higher with the EOT </w:t>
      </w:r>
      <w:proofErr w:type="spellStart"/>
      <w:r w:rsidRPr="0027264E">
        <w:t>HBcrAg</w:t>
      </w:r>
      <w:proofErr w:type="spellEnd"/>
      <w:r w:rsidRPr="0027264E">
        <w:t xml:space="preserve"> ≥ 1,</w:t>
      </w:r>
      <w:r w:rsidRPr="0027264E">
        <w:rPr>
          <w:rFonts w:hint="eastAsia"/>
        </w:rPr>
        <w:t xml:space="preserve">000 </w:t>
      </w:r>
      <w:r w:rsidRPr="0027264E">
        <w:t>U/mL than &lt;1,000 U/mL</w:t>
      </w:r>
      <w:r w:rsidRPr="0027264E">
        <w:rPr>
          <w:rFonts w:hint="eastAsia"/>
        </w:rPr>
        <w:t xml:space="preserve"> (</w:t>
      </w:r>
      <w:r w:rsidRPr="0027264E">
        <w:rPr>
          <w:rFonts w:hint="eastAsia"/>
          <w:i/>
          <w:iCs/>
        </w:rPr>
        <w:t>P</w:t>
      </w:r>
      <w:r w:rsidRPr="0027264E">
        <w:rPr>
          <w:rFonts w:hint="eastAsia"/>
        </w:rPr>
        <w:t xml:space="preserve"> = 0.002</w:t>
      </w:r>
      <w:bookmarkEnd w:id="1"/>
      <w:r w:rsidRPr="0027264E">
        <w:rPr>
          <w:rFonts w:hint="eastAsia"/>
        </w:rPr>
        <w:t>) (</w:t>
      </w:r>
      <w:r w:rsidRPr="0027264E">
        <w:rPr>
          <w:b/>
          <w:bCs/>
        </w:rPr>
        <w:t>Figure 2</w:t>
      </w:r>
      <w:r w:rsidRPr="0027264E">
        <w:t>). In the univariable analysis, the HR for</w:t>
      </w:r>
      <w:r w:rsidRPr="0027264E">
        <w:rPr>
          <w:rFonts w:hint="eastAsia"/>
        </w:rPr>
        <w:t xml:space="preserve"> CR</w:t>
      </w:r>
      <w:r w:rsidRPr="0027264E">
        <w:t xml:space="preserve"> was 1.30 (95% CI, 1.10‐1.53) per log U/mL</w:t>
      </w:r>
      <w:r w:rsidRPr="0027264E">
        <w:rPr>
          <w:rFonts w:hint="eastAsia"/>
        </w:rPr>
        <w:t xml:space="preserve"> </w:t>
      </w:r>
      <w:r w:rsidRPr="0027264E">
        <w:t>(</w:t>
      </w:r>
      <w:r w:rsidRPr="0027264E">
        <w:rPr>
          <w:i/>
          <w:iCs/>
        </w:rPr>
        <w:t>P</w:t>
      </w:r>
      <w:r w:rsidRPr="0027264E">
        <w:t xml:space="preserve"> = 0.005) for the EOT </w:t>
      </w:r>
      <w:proofErr w:type="spellStart"/>
      <w:r w:rsidRPr="0027264E">
        <w:t>HBcrAg</w:t>
      </w:r>
      <w:proofErr w:type="spellEnd"/>
      <w:r w:rsidRPr="0027264E">
        <w:t xml:space="preserve"> (</w:t>
      </w:r>
      <w:r w:rsidRPr="0027264E">
        <w:rPr>
          <w:b/>
          <w:bCs/>
        </w:rPr>
        <w:t>Table 2</w:t>
      </w:r>
      <w:r w:rsidRPr="0027264E">
        <w:t>). In the receiver operating characteristic curve designed to evaluate the performance of</w:t>
      </w:r>
      <w:r w:rsidRPr="0027264E">
        <w:rPr>
          <w:rFonts w:hint="eastAsia"/>
        </w:rPr>
        <w:t xml:space="preserve"> </w:t>
      </w:r>
      <w:r w:rsidRPr="0027264E">
        <w:t xml:space="preserve">EOT </w:t>
      </w:r>
      <w:proofErr w:type="spellStart"/>
      <w:r w:rsidRPr="0027264E">
        <w:t>HBcrAg</w:t>
      </w:r>
      <w:proofErr w:type="spellEnd"/>
      <w:r w:rsidRPr="0027264E">
        <w:t xml:space="preserve">, however, the EOT </w:t>
      </w:r>
      <w:proofErr w:type="spellStart"/>
      <w:r w:rsidRPr="0027264E">
        <w:t>HBcrAg</w:t>
      </w:r>
      <w:proofErr w:type="spellEnd"/>
      <w:r w:rsidRPr="0027264E">
        <w:t xml:space="preserve"> level alone</w:t>
      </w:r>
      <w:r w:rsidRPr="0027264E">
        <w:rPr>
          <w:rFonts w:hint="eastAsia"/>
        </w:rPr>
        <w:t xml:space="preserve"> </w:t>
      </w:r>
      <w:r w:rsidRPr="0027264E">
        <w:t xml:space="preserve">could not sufficiently predict the risk of </w:t>
      </w:r>
      <w:r w:rsidRPr="0027264E">
        <w:rPr>
          <w:rFonts w:hint="eastAsia"/>
        </w:rPr>
        <w:t>CR</w:t>
      </w:r>
      <w:r w:rsidRPr="0027264E">
        <w:t>, with an AUC</w:t>
      </w:r>
      <w:r w:rsidRPr="0027264E">
        <w:rPr>
          <w:rFonts w:hint="eastAsia"/>
        </w:rPr>
        <w:t xml:space="preserve"> </w:t>
      </w:r>
      <w:r w:rsidRPr="0027264E">
        <w:t>of 0.61 (95% CI, 0.53‐0.69) (</w:t>
      </w:r>
      <w:r w:rsidRPr="0027264E">
        <w:rPr>
          <w:b/>
          <w:bCs/>
        </w:rPr>
        <w:t>Figure 3</w:t>
      </w:r>
      <w:r w:rsidRPr="0027264E">
        <w:t>).</w:t>
      </w:r>
    </w:p>
    <w:p w14:paraId="6B1DC26E" w14:textId="77777777" w:rsidR="0027264E" w:rsidRPr="0027264E" w:rsidRDefault="0027264E" w:rsidP="0027264E">
      <w:pPr>
        <w:spacing w:line="480" w:lineRule="auto"/>
        <w:ind w:rightChars="-24" w:right="-58"/>
        <w:jc w:val="both"/>
      </w:pPr>
    </w:p>
    <w:p w14:paraId="6FB8E860" w14:textId="77777777" w:rsidR="0027264E" w:rsidRPr="0027264E" w:rsidRDefault="0027264E" w:rsidP="0027264E">
      <w:pPr>
        <w:spacing w:line="480" w:lineRule="auto"/>
        <w:ind w:rightChars="-24" w:right="-58"/>
        <w:jc w:val="both"/>
        <w:rPr>
          <w:b/>
          <w:i/>
        </w:rPr>
      </w:pPr>
      <w:bookmarkStart w:id="2" w:name="OLE_LINK8"/>
      <w:r w:rsidRPr="0027264E">
        <w:rPr>
          <w:b/>
          <w:i/>
        </w:rPr>
        <w:t xml:space="preserve">Changes in serum </w:t>
      </w:r>
      <w:proofErr w:type="spellStart"/>
      <w:r w:rsidRPr="0027264E">
        <w:rPr>
          <w:b/>
          <w:i/>
        </w:rPr>
        <w:t>HBcrAg</w:t>
      </w:r>
      <w:proofErr w:type="spellEnd"/>
      <w:r w:rsidRPr="0027264E">
        <w:rPr>
          <w:b/>
          <w:i/>
        </w:rPr>
        <w:t xml:space="preserve"> </w:t>
      </w:r>
      <w:bookmarkEnd w:id="2"/>
      <w:r w:rsidRPr="0027264E">
        <w:rPr>
          <w:b/>
          <w:i/>
        </w:rPr>
        <w:t>in post</w:t>
      </w:r>
      <w:r w:rsidRPr="0027264E">
        <w:rPr>
          <w:rFonts w:hint="eastAsia"/>
          <w:b/>
          <w:i/>
        </w:rPr>
        <w:t>-</w:t>
      </w:r>
      <w:r w:rsidRPr="0027264E">
        <w:rPr>
          <w:b/>
          <w:i/>
        </w:rPr>
        <w:t>treatment monitoring and the associations with</w:t>
      </w:r>
      <w:r w:rsidRPr="0027264E">
        <w:rPr>
          <w:rFonts w:hint="eastAsia"/>
          <w:b/>
          <w:i/>
        </w:rPr>
        <w:t xml:space="preserve"> </w:t>
      </w:r>
      <w:r w:rsidRPr="0027264E">
        <w:rPr>
          <w:b/>
          <w:i/>
        </w:rPr>
        <w:t>CR</w:t>
      </w:r>
    </w:p>
    <w:p w14:paraId="23B792CD" w14:textId="77777777" w:rsidR="0027264E" w:rsidRPr="0027264E" w:rsidRDefault="0027264E" w:rsidP="0027264E">
      <w:pPr>
        <w:spacing w:line="480" w:lineRule="auto"/>
        <w:ind w:rightChars="-24" w:right="-58"/>
        <w:jc w:val="both"/>
        <w:rPr>
          <w:b/>
          <w:iCs/>
        </w:rPr>
      </w:pPr>
      <w:r w:rsidRPr="0027264E">
        <w:rPr>
          <w:bCs/>
          <w:iCs/>
        </w:rPr>
        <w:t xml:space="preserve">After stopping treatment, 114 and 71 </w:t>
      </w:r>
      <w:bookmarkStart w:id="3" w:name="OLE_LINK7"/>
      <w:r w:rsidRPr="0027264E">
        <w:rPr>
          <w:bCs/>
          <w:iCs/>
        </w:rPr>
        <w:t xml:space="preserve">patients </w:t>
      </w:r>
      <w:bookmarkEnd w:id="3"/>
      <w:r w:rsidRPr="0027264E">
        <w:rPr>
          <w:bCs/>
          <w:iCs/>
        </w:rPr>
        <w:t>remained off NA after the first and second years of follow-up.</w:t>
      </w:r>
      <w:r w:rsidRPr="0027264E">
        <w:rPr>
          <w:rFonts w:hint="eastAsia"/>
          <w:bCs/>
          <w:iCs/>
        </w:rPr>
        <w:t xml:space="preserve"> T</w:t>
      </w:r>
      <w:r w:rsidRPr="0027264E">
        <w:rPr>
          <w:bCs/>
          <w:iCs/>
        </w:rPr>
        <w:t xml:space="preserve">heir posttreatment fluctuations in </w:t>
      </w:r>
      <w:proofErr w:type="spellStart"/>
      <w:r w:rsidRPr="0027264E">
        <w:rPr>
          <w:bCs/>
          <w:iCs/>
        </w:rPr>
        <w:t>HBcrAg</w:t>
      </w:r>
      <w:proofErr w:type="spellEnd"/>
      <w:r w:rsidRPr="0027264E">
        <w:rPr>
          <w:bCs/>
          <w:iCs/>
        </w:rPr>
        <w:t xml:space="preserve"> levels were illustrated in </w:t>
      </w:r>
      <w:r w:rsidRPr="0027264E">
        <w:rPr>
          <w:bCs/>
          <w:iCs/>
        </w:rPr>
        <w:lastRenderedPageBreak/>
        <w:t>relation to the occurrence of CR (Figure 4). In patients with CR and those without CR, the median</w:t>
      </w:r>
      <w:bookmarkStart w:id="4" w:name="OLE_LINK9"/>
      <w:r w:rsidRPr="0027264E">
        <w:rPr>
          <w:bCs/>
          <w:iCs/>
        </w:rPr>
        <w:t xml:space="preserve"> </w:t>
      </w:r>
      <w:proofErr w:type="spellStart"/>
      <w:r w:rsidRPr="0027264E">
        <w:rPr>
          <w:bCs/>
          <w:iCs/>
        </w:rPr>
        <w:t>HBcrAg</w:t>
      </w:r>
      <w:bookmarkEnd w:id="4"/>
      <w:proofErr w:type="spellEnd"/>
      <w:r w:rsidRPr="0027264E">
        <w:rPr>
          <w:bCs/>
          <w:iCs/>
        </w:rPr>
        <w:t xml:space="preserve"> levels were </w:t>
      </w:r>
      <w:r w:rsidRPr="0027264E">
        <w:rPr>
          <w:rFonts w:hint="eastAsia"/>
          <w:bCs/>
          <w:iCs/>
        </w:rPr>
        <w:t>3.20</w:t>
      </w:r>
      <w:r w:rsidRPr="0027264E">
        <w:rPr>
          <w:bCs/>
          <w:iCs/>
        </w:rPr>
        <w:t xml:space="preserve"> log U/mL (n=104) vs. </w:t>
      </w:r>
      <w:r w:rsidRPr="0027264E">
        <w:rPr>
          <w:rFonts w:hint="eastAsia"/>
          <w:bCs/>
          <w:iCs/>
        </w:rPr>
        <w:t>2.00</w:t>
      </w:r>
      <w:r w:rsidRPr="0027264E">
        <w:rPr>
          <w:bCs/>
          <w:iCs/>
        </w:rPr>
        <w:t xml:space="preserve"> log U/mL (n=99) at treatment cessation (</w:t>
      </w:r>
      <w:r w:rsidRPr="0027264E">
        <w:rPr>
          <w:bCs/>
          <w:i/>
        </w:rPr>
        <w:t xml:space="preserve">P </w:t>
      </w:r>
      <w:r w:rsidRPr="0027264E">
        <w:rPr>
          <w:bCs/>
          <w:iCs/>
        </w:rPr>
        <w:t>=</w:t>
      </w:r>
      <w:r w:rsidRPr="0027264E">
        <w:rPr>
          <w:rFonts w:hint="eastAsia"/>
          <w:bCs/>
          <w:iCs/>
        </w:rPr>
        <w:t>0.004)</w:t>
      </w:r>
      <w:r w:rsidRPr="0027264E">
        <w:rPr>
          <w:bCs/>
          <w:iCs/>
        </w:rPr>
        <w:t xml:space="preserve">, </w:t>
      </w:r>
      <w:r w:rsidRPr="0027264E">
        <w:rPr>
          <w:rFonts w:hint="eastAsia"/>
          <w:bCs/>
          <w:iCs/>
        </w:rPr>
        <w:t>2.00</w:t>
      </w:r>
      <w:r w:rsidRPr="0027264E">
        <w:rPr>
          <w:bCs/>
          <w:iCs/>
        </w:rPr>
        <w:t xml:space="preserve"> log U/mL (n=35) vs. </w:t>
      </w:r>
      <w:r w:rsidRPr="0027264E">
        <w:rPr>
          <w:rFonts w:hint="eastAsia"/>
          <w:bCs/>
          <w:iCs/>
        </w:rPr>
        <w:t>2.00</w:t>
      </w:r>
      <w:r w:rsidRPr="0027264E">
        <w:rPr>
          <w:bCs/>
          <w:iCs/>
        </w:rPr>
        <w:t xml:space="preserve"> log U/mL (n=79) at year one</w:t>
      </w:r>
      <w:r w:rsidRPr="0027264E">
        <w:rPr>
          <w:rFonts w:hint="eastAsia"/>
          <w:bCs/>
          <w:iCs/>
        </w:rPr>
        <w:t xml:space="preserve"> </w:t>
      </w:r>
      <w:r w:rsidRPr="0027264E">
        <w:rPr>
          <w:bCs/>
          <w:iCs/>
        </w:rPr>
        <w:t>(</w:t>
      </w:r>
      <w:r w:rsidRPr="0027264E">
        <w:rPr>
          <w:bCs/>
          <w:i/>
        </w:rPr>
        <w:t xml:space="preserve">P </w:t>
      </w:r>
      <w:r w:rsidRPr="0027264E">
        <w:rPr>
          <w:bCs/>
          <w:iCs/>
        </w:rPr>
        <w:t xml:space="preserve">= </w:t>
      </w:r>
      <w:r w:rsidRPr="0027264E">
        <w:rPr>
          <w:rFonts w:hint="eastAsia"/>
          <w:bCs/>
          <w:iCs/>
        </w:rPr>
        <w:t>0.191)</w:t>
      </w:r>
      <w:r w:rsidRPr="0027264E">
        <w:rPr>
          <w:bCs/>
          <w:iCs/>
        </w:rPr>
        <w:t xml:space="preserve">, and </w:t>
      </w:r>
      <w:r w:rsidRPr="0027264E">
        <w:rPr>
          <w:rFonts w:hint="eastAsia"/>
          <w:bCs/>
          <w:iCs/>
        </w:rPr>
        <w:t xml:space="preserve">3.54 </w:t>
      </w:r>
      <w:r w:rsidRPr="0027264E">
        <w:rPr>
          <w:bCs/>
          <w:iCs/>
        </w:rPr>
        <w:t xml:space="preserve">log U/mL (n=14) vs. </w:t>
      </w:r>
      <w:r w:rsidRPr="0027264E">
        <w:rPr>
          <w:rFonts w:hint="eastAsia"/>
          <w:bCs/>
          <w:iCs/>
        </w:rPr>
        <w:t>2.00</w:t>
      </w:r>
      <w:r w:rsidRPr="0027264E">
        <w:rPr>
          <w:bCs/>
          <w:iCs/>
        </w:rPr>
        <w:t xml:space="preserve"> log U/mL (n=57) at year two (</w:t>
      </w:r>
      <w:r w:rsidRPr="0027264E">
        <w:rPr>
          <w:bCs/>
          <w:i/>
        </w:rPr>
        <w:t>P</w:t>
      </w:r>
      <w:r w:rsidRPr="0027264E">
        <w:rPr>
          <w:bCs/>
          <w:iCs/>
        </w:rPr>
        <w:t xml:space="preserve"> = </w:t>
      </w:r>
      <w:r w:rsidRPr="0027264E">
        <w:rPr>
          <w:rFonts w:hint="eastAsia"/>
          <w:bCs/>
          <w:iCs/>
        </w:rPr>
        <w:t>0.006)</w:t>
      </w:r>
      <w:r w:rsidRPr="0027264E">
        <w:rPr>
          <w:bCs/>
          <w:iCs/>
        </w:rPr>
        <w:t>.</w:t>
      </w:r>
    </w:p>
    <w:p w14:paraId="548799EA" w14:textId="77777777" w:rsidR="0027264E" w:rsidRPr="0027264E" w:rsidRDefault="0027264E" w:rsidP="0027264E">
      <w:pPr>
        <w:spacing w:line="480" w:lineRule="auto"/>
        <w:ind w:rightChars="-24" w:right="-58"/>
        <w:jc w:val="both"/>
        <w:rPr>
          <w:bCs/>
          <w:iCs/>
        </w:rPr>
      </w:pPr>
    </w:p>
    <w:p w14:paraId="71287EDF" w14:textId="77777777" w:rsidR="0027264E" w:rsidRPr="0027264E" w:rsidRDefault="0027264E" w:rsidP="0027264E">
      <w:pPr>
        <w:spacing w:line="480" w:lineRule="auto"/>
        <w:ind w:rightChars="-24" w:right="-58"/>
        <w:jc w:val="both"/>
        <w:rPr>
          <w:bCs/>
          <w:iCs/>
        </w:rPr>
      </w:pPr>
      <w:r w:rsidRPr="0027264E">
        <w:rPr>
          <w:bCs/>
          <w:iCs/>
        </w:rPr>
        <w:t xml:space="preserve">We further examined the association between the pattern of </w:t>
      </w:r>
      <w:proofErr w:type="spellStart"/>
      <w:r w:rsidRPr="0027264E">
        <w:rPr>
          <w:bCs/>
          <w:iCs/>
        </w:rPr>
        <w:t>HBcrAg</w:t>
      </w:r>
      <w:proofErr w:type="spellEnd"/>
      <w:r w:rsidRPr="0027264E">
        <w:rPr>
          <w:bCs/>
          <w:iCs/>
        </w:rPr>
        <w:t xml:space="preserve"> changes and the risk of CR. Among the 114 patients who did not resume antiviral therapy at year one, </w:t>
      </w:r>
      <w:bookmarkStart w:id="5" w:name="_Hlk140390877"/>
      <w:r w:rsidRPr="0027264E">
        <w:rPr>
          <w:bCs/>
          <w:iCs/>
        </w:rPr>
        <w:t xml:space="preserve">serum </w:t>
      </w:r>
      <w:proofErr w:type="spellStart"/>
      <w:r w:rsidRPr="0027264E">
        <w:rPr>
          <w:bCs/>
          <w:iCs/>
        </w:rPr>
        <w:t>HBcrAg</w:t>
      </w:r>
      <w:bookmarkEnd w:id="5"/>
      <w:proofErr w:type="spellEnd"/>
      <w:r w:rsidRPr="0027264E">
        <w:rPr>
          <w:bCs/>
          <w:iCs/>
        </w:rPr>
        <w:t xml:space="preserve"> decreased in </w:t>
      </w:r>
      <w:bookmarkStart w:id="6" w:name="OLE_LINK1"/>
      <w:r w:rsidRPr="0027264E">
        <w:rPr>
          <w:bCs/>
          <w:iCs/>
        </w:rPr>
        <w:t>39</w:t>
      </w:r>
      <w:bookmarkEnd w:id="6"/>
      <w:r w:rsidRPr="0027264E">
        <w:rPr>
          <w:bCs/>
          <w:iCs/>
        </w:rPr>
        <w:t xml:space="preserve"> patients (34.2%), did not change in </w:t>
      </w:r>
      <w:bookmarkStart w:id="7" w:name="OLE_LINK2"/>
      <w:r w:rsidRPr="0027264E">
        <w:rPr>
          <w:bCs/>
          <w:iCs/>
        </w:rPr>
        <w:t>62</w:t>
      </w:r>
      <w:bookmarkEnd w:id="7"/>
      <w:r w:rsidRPr="0027264E">
        <w:rPr>
          <w:bCs/>
          <w:iCs/>
        </w:rPr>
        <w:t xml:space="preserve"> patients (54.4%) and increased in </w:t>
      </w:r>
      <w:bookmarkStart w:id="8" w:name="OLE_LINK3"/>
      <w:r w:rsidRPr="0027264E">
        <w:rPr>
          <w:bCs/>
          <w:iCs/>
        </w:rPr>
        <w:t>13</w:t>
      </w:r>
      <w:bookmarkEnd w:id="8"/>
      <w:r w:rsidRPr="0027264E">
        <w:rPr>
          <w:bCs/>
          <w:iCs/>
        </w:rPr>
        <w:t xml:space="preserve"> patients (11.4%)</w:t>
      </w:r>
      <w:r w:rsidRPr="0027264E">
        <w:rPr>
          <w:rFonts w:hint="eastAsia"/>
          <w:bCs/>
          <w:iCs/>
        </w:rPr>
        <w:t>.</w:t>
      </w:r>
      <w:r w:rsidRPr="0027264E">
        <w:rPr>
          <w:bCs/>
          <w:iCs/>
        </w:rPr>
        <w:t xml:space="preserve"> The incidence of subsequent CR did not differ between patients with and without decrease in serum </w:t>
      </w:r>
      <w:proofErr w:type="spellStart"/>
      <w:r w:rsidRPr="0027264E">
        <w:rPr>
          <w:bCs/>
          <w:iCs/>
        </w:rPr>
        <w:t>HBcrAg</w:t>
      </w:r>
      <w:proofErr w:type="spellEnd"/>
      <w:r w:rsidRPr="0027264E">
        <w:rPr>
          <w:bCs/>
          <w:iCs/>
        </w:rPr>
        <w:t xml:space="preserve"> inf the first year (</w:t>
      </w:r>
      <w:r w:rsidRPr="0027264E">
        <w:rPr>
          <w:bCs/>
          <w:i/>
        </w:rPr>
        <w:t>P</w:t>
      </w:r>
      <w:r w:rsidRPr="0027264E">
        <w:rPr>
          <w:bCs/>
          <w:iCs/>
        </w:rPr>
        <w:t xml:space="preserve"> = 0.74; </w:t>
      </w:r>
      <w:bookmarkStart w:id="9" w:name="_Hlk140391393"/>
      <w:r w:rsidRPr="0027264E">
        <w:rPr>
          <w:b/>
          <w:iCs/>
        </w:rPr>
        <w:t>Figure</w:t>
      </w:r>
      <w:bookmarkEnd w:id="9"/>
      <w:r w:rsidRPr="0027264E">
        <w:rPr>
          <w:b/>
          <w:iCs/>
        </w:rPr>
        <w:t xml:space="preserve"> 5A</w:t>
      </w:r>
      <w:r w:rsidRPr="0027264E">
        <w:rPr>
          <w:bCs/>
          <w:iCs/>
        </w:rPr>
        <w:t>).</w:t>
      </w:r>
      <w:bookmarkStart w:id="10" w:name="_Hlk140439255"/>
      <w:r w:rsidRPr="0027264E">
        <w:rPr>
          <w:bCs/>
          <w:iCs/>
        </w:rPr>
        <w:t xml:space="preserve"> </w:t>
      </w:r>
      <w:bookmarkEnd w:id="10"/>
      <w:r w:rsidRPr="0027264E">
        <w:rPr>
          <w:bCs/>
          <w:iCs/>
        </w:rPr>
        <w:t xml:space="preserve">During the second year, serum </w:t>
      </w:r>
      <w:proofErr w:type="spellStart"/>
      <w:r w:rsidRPr="0027264E">
        <w:rPr>
          <w:bCs/>
          <w:iCs/>
        </w:rPr>
        <w:t>HBcrAg</w:t>
      </w:r>
      <w:proofErr w:type="spellEnd"/>
      <w:r w:rsidRPr="0027264E">
        <w:rPr>
          <w:bCs/>
          <w:iCs/>
        </w:rPr>
        <w:t xml:space="preserve"> decreased in </w:t>
      </w:r>
      <w:bookmarkStart w:id="11" w:name="OLE_LINK4"/>
      <w:r w:rsidRPr="0027264E">
        <w:rPr>
          <w:bCs/>
          <w:iCs/>
        </w:rPr>
        <w:t>16</w:t>
      </w:r>
      <w:bookmarkEnd w:id="11"/>
      <w:r w:rsidRPr="0027264E">
        <w:rPr>
          <w:bCs/>
          <w:iCs/>
        </w:rPr>
        <w:t xml:space="preserve"> patients (22.5%), did not change in </w:t>
      </w:r>
      <w:bookmarkStart w:id="12" w:name="OLE_LINK5"/>
      <w:r w:rsidRPr="0027264E">
        <w:rPr>
          <w:bCs/>
          <w:iCs/>
        </w:rPr>
        <w:t>41</w:t>
      </w:r>
      <w:bookmarkEnd w:id="12"/>
      <w:r w:rsidRPr="0027264E">
        <w:rPr>
          <w:bCs/>
          <w:iCs/>
        </w:rPr>
        <w:t xml:space="preserve"> patients (57.8%), and increased in </w:t>
      </w:r>
      <w:bookmarkStart w:id="13" w:name="OLE_LINK6"/>
      <w:r w:rsidRPr="0027264E">
        <w:rPr>
          <w:bCs/>
          <w:iCs/>
        </w:rPr>
        <w:t>14</w:t>
      </w:r>
      <w:bookmarkEnd w:id="13"/>
      <w:r w:rsidRPr="0027264E">
        <w:rPr>
          <w:bCs/>
          <w:iCs/>
        </w:rPr>
        <w:t xml:space="preserve"> patients (19.7%). Similarly,</w:t>
      </w:r>
      <w:r w:rsidRPr="0027264E">
        <w:t xml:space="preserve"> </w:t>
      </w:r>
      <w:r w:rsidRPr="0027264E">
        <w:rPr>
          <w:bCs/>
          <w:iCs/>
        </w:rPr>
        <w:t xml:space="preserve">there were no difference in the risk of CR between patients with and those without </w:t>
      </w:r>
      <w:proofErr w:type="spellStart"/>
      <w:r w:rsidRPr="0027264E">
        <w:rPr>
          <w:bCs/>
          <w:iCs/>
        </w:rPr>
        <w:t>HBcrAg</w:t>
      </w:r>
      <w:proofErr w:type="spellEnd"/>
      <w:r w:rsidRPr="0027264E">
        <w:rPr>
          <w:bCs/>
          <w:iCs/>
        </w:rPr>
        <w:t xml:space="preserve"> decreases in year two (</w:t>
      </w:r>
      <w:r w:rsidRPr="0027264E">
        <w:rPr>
          <w:bCs/>
          <w:i/>
        </w:rPr>
        <w:t>P</w:t>
      </w:r>
      <w:r w:rsidRPr="0027264E">
        <w:rPr>
          <w:bCs/>
          <w:iCs/>
        </w:rPr>
        <w:t xml:space="preserve"> = 0.84;</w:t>
      </w:r>
      <w:r w:rsidRPr="0027264E">
        <w:rPr>
          <w:b/>
          <w:iCs/>
        </w:rPr>
        <w:t xml:space="preserve"> Figure 5B</w:t>
      </w:r>
      <w:r w:rsidRPr="0027264E">
        <w:rPr>
          <w:bCs/>
          <w:iCs/>
        </w:rPr>
        <w:t>).</w:t>
      </w:r>
      <w:bookmarkStart w:id="14" w:name="_Hlk141996786"/>
      <w:r w:rsidRPr="0027264E">
        <w:t xml:space="preserve"> </w:t>
      </w:r>
      <w:bookmarkEnd w:id="14"/>
    </w:p>
    <w:p w14:paraId="39981B30" w14:textId="77777777" w:rsidR="0027264E" w:rsidRPr="0027264E" w:rsidRDefault="0027264E" w:rsidP="0027264E">
      <w:pPr>
        <w:spacing w:line="480" w:lineRule="auto"/>
        <w:ind w:rightChars="-24" w:right="-58"/>
        <w:jc w:val="both"/>
        <w:rPr>
          <w:bCs/>
          <w:iCs/>
        </w:rPr>
      </w:pPr>
    </w:p>
    <w:p w14:paraId="1B57C2C0" w14:textId="77777777" w:rsidR="0027264E" w:rsidRPr="0027264E" w:rsidRDefault="0027264E" w:rsidP="0027264E">
      <w:pPr>
        <w:spacing w:line="480" w:lineRule="auto"/>
        <w:ind w:rightChars="-24" w:right="-58"/>
        <w:jc w:val="both"/>
        <w:rPr>
          <w:b/>
          <w:i/>
        </w:rPr>
      </w:pPr>
      <w:r w:rsidRPr="0027264E">
        <w:rPr>
          <w:b/>
          <w:i/>
        </w:rPr>
        <w:t>Multivariable Cox proportional hazard analysis</w:t>
      </w:r>
      <w:r w:rsidRPr="0027264E">
        <w:rPr>
          <w:rFonts w:hint="eastAsia"/>
          <w:b/>
          <w:i/>
        </w:rPr>
        <w:t xml:space="preserve"> </w:t>
      </w:r>
      <w:r w:rsidRPr="0027264E">
        <w:rPr>
          <w:b/>
          <w:i/>
        </w:rPr>
        <w:t xml:space="preserve">for </w:t>
      </w:r>
      <w:r w:rsidRPr="0027264E">
        <w:rPr>
          <w:rFonts w:hint="eastAsia"/>
          <w:b/>
          <w:i/>
        </w:rPr>
        <w:t>t</w:t>
      </w:r>
      <w:r w:rsidRPr="0027264E">
        <w:rPr>
          <w:b/>
          <w:i/>
        </w:rPr>
        <w:t xml:space="preserve">ime-varying </w:t>
      </w:r>
      <w:proofErr w:type="spellStart"/>
      <w:r w:rsidRPr="0027264E">
        <w:rPr>
          <w:b/>
          <w:i/>
        </w:rPr>
        <w:t>HB</w:t>
      </w:r>
      <w:r w:rsidRPr="0027264E">
        <w:rPr>
          <w:rFonts w:hint="eastAsia"/>
          <w:b/>
          <w:i/>
        </w:rPr>
        <w:t>c</w:t>
      </w:r>
      <w:r w:rsidRPr="0027264E">
        <w:rPr>
          <w:b/>
          <w:i/>
        </w:rPr>
        <w:t>rAg</w:t>
      </w:r>
      <w:proofErr w:type="spellEnd"/>
      <w:r w:rsidRPr="0027264E">
        <w:rPr>
          <w:b/>
          <w:i/>
        </w:rPr>
        <w:t xml:space="preserve"> </w:t>
      </w:r>
      <w:r w:rsidRPr="0027264E">
        <w:rPr>
          <w:rFonts w:hint="eastAsia"/>
          <w:b/>
          <w:i/>
        </w:rPr>
        <w:t>l</w:t>
      </w:r>
      <w:r w:rsidRPr="0027264E">
        <w:rPr>
          <w:b/>
          <w:i/>
        </w:rPr>
        <w:t>evels</w:t>
      </w:r>
    </w:p>
    <w:p w14:paraId="10D71014" w14:textId="77777777" w:rsidR="0027264E" w:rsidRPr="0027264E" w:rsidRDefault="0027264E" w:rsidP="0027264E">
      <w:pPr>
        <w:spacing w:line="480" w:lineRule="auto"/>
        <w:ind w:rightChars="-24" w:right="-58"/>
        <w:jc w:val="both"/>
      </w:pPr>
      <w:bookmarkStart w:id="15" w:name="_Hlk123595885"/>
      <w:r w:rsidRPr="0027264E">
        <w:t xml:space="preserve">In the multivariable Cox proportional hazard analysis, the time-varying </w:t>
      </w:r>
      <w:proofErr w:type="spellStart"/>
      <w:r w:rsidRPr="0027264E">
        <w:t>HBcrAg</w:t>
      </w:r>
      <w:proofErr w:type="spellEnd"/>
      <w:r w:rsidRPr="0027264E">
        <w:t xml:space="preserve"> level and the EOT </w:t>
      </w:r>
      <w:proofErr w:type="spellStart"/>
      <w:r w:rsidRPr="0027264E">
        <w:t>HBcrAg</w:t>
      </w:r>
      <w:proofErr w:type="spellEnd"/>
      <w:r w:rsidRPr="0027264E">
        <w:t xml:space="preserve"> level were examined as either fixed factors or not. </w:t>
      </w:r>
      <w:r w:rsidRPr="0027264E">
        <w:rPr>
          <w:rFonts w:hint="eastAsia"/>
        </w:rPr>
        <w:t>Af</w:t>
      </w:r>
      <w:r w:rsidRPr="0027264E">
        <w:t xml:space="preserve">ter stepwise </w:t>
      </w:r>
      <w:r w:rsidRPr="0027264E">
        <w:lastRenderedPageBreak/>
        <w:t xml:space="preserve">selection, independent predictors of subsequent </w:t>
      </w:r>
      <w:r w:rsidRPr="0027264E">
        <w:rPr>
          <w:rFonts w:hint="eastAsia"/>
        </w:rPr>
        <w:t>CR</w:t>
      </w:r>
      <w:r w:rsidRPr="0027264E">
        <w:t xml:space="preserve"> included EOT anti-</w:t>
      </w:r>
      <w:proofErr w:type="spellStart"/>
      <w:r w:rsidRPr="0027264E">
        <w:t>HBe</w:t>
      </w:r>
      <w:proofErr w:type="spellEnd"/>
      <w:r w:rsidRPr="0027264E">
        <w:t xml:space="preserve"> antibody positivity (adjusted hazard ratio [</w:t>
      </w:r>
      <w:proofErr w:type="spellStart"/>
      <w:r w:rsidRPr="0027264E">
        <w:t>aHR</w:t>
      </w:r>
      <w:proofErr w:type="spellEnd"/>
      <w:r w:rsidRPr="0027264E">
        <w:t>], 0.34; 95% CI, 0.21-0.56), EOT HBsAg (</w:t>
      </w:r>
      <w:proofErr w:type="spellStart"/>
      <w:r w:rsidRPr="0027264E">
        <w:t>aHR</w:t>
      </w:r>
      <w:proofErr w:type="spellEnd"/>
      <w:r w:rsidRPr="0027264E">
        <w:t xml:space="preserve">, 1.39 per log IU/mL; 95% CI, 1.02-1.90), time-varying </w:t>
      </w:r>
      <w:proofErr w:type="spellStart"/>
      <w:r w:rsidRPr="0027264E">
        <w:t>HBcrAg</w:t>
      </w:r>
      <w:proofErr w:type="spellEnd"/>
      <w:r w:rsidRPr="0027264E">
        <w:t xml:space="preserve"> level (</w:t>
      </w:r>
      <w:proofErr w:type="spellStart"/>
      <w:r w:rsidRPr="0027264E">
        <w:t>aHR</w:t>
      </w:r>
      <w:proofErr w:type="spellEnd"/>
      <w:r w:rsidRPr="0027264E">
        <w:t>, 1.33 per log U/mL; 95% CI, 1.13-1.58) and EOT ALT (</w:t>
      </w:r>
      <w:proofErr w:type="spellStart"/>
      <w:r w:rsidRPr="0027264E">
        <w:t>aHR</w:t>
      </w:r>
      <w:proofErr w:type="spellEnd"/>
      <w:r w:rsidRPr="0027264E">
        <w:t>, 1.01 per U/L; 95% CI, 1.00-1.02) (</w:t>
      </w:r>
      <w:r w:rsidRPr="0027264E">
        <w:rPr>
          <w:b/>
          <w:bCs/>
        </w:rPr>
        <w:t>Table 2</w:t>
      </w:r>
      <w:r w:rsidRPr="0027264E">
        <w:t xml:space="preserve">). </w:t>
      </w:r>
    </w:p>
    <w:p w14:paraId="259077F4" w14:textId="77777777" w:rsidR="0027264E" w:rsidRPr="0027264E" w:rsidRDefault="0027264E" w:rsidP="0027264E">
      <w:pPr>
        <w:spacing w:line="480" w:lineRule="auto"/>
        <w:ind w:rightChars="-24" w:right="-58"/>
        <w:jc w:val="both"/>
      </w:pPr>
    </w:p>
    <w:p w14:paraId="32569752" w14:textId="77777777" w:rsidR="0027264E" w:rsidRPr="0027264E" w:rsidRDefault="0027264E" w:rsidP="0027264E">
      <w:pPr>
        <w:spacing w:line="480" w:lineRule="auto"/>
        <w:ind w:rightChars="-24" w:right="-58"/>
        <w:jc w:val="both"/>
      </w:pPr>
      <w:r w:rsidRPr="0027264E">
        <w:t xml:space="preserve">When the time-varying </w:t>
      </w:r>
      <w:proofErr w:type="spellStart"/>
      <w:r w:rsidRPr="0027264E">
        <w:t>HBcrAg</w:t>
      </w:r>
      <w:proofErr w:type="spellEnd"/>
      <w:r w:rsidRPr="0027264E">
        <w:t xml:space="preserve"> level and the EOT </w:t>
      </w:r>
      <w:proofErr w:type="spellStart"/>
      <w:r w:rsidRPr="0027264E">
        <w:t>HBcrAg</w:t>
      </w:r>
      <w:proofErr w:type="spellEnd"/>
      <w:r w:rsidRPr="0027264E">
        <w:t xml:space="preserve"> level were forced into the model</w:t>
      </w:r>
      <w:bookmarkStart w:id="16" w:name="_Hlk123503817"/>
      <w:r w:rsidRPr="0027264E">
        <w:t xml:space="preserve"> </w:t>
      </w:r>
      <w:bookmarkStart w:id="17" w:name="_Hlk123686517"/>
      <w:r w:rsidRPr="0027264E">
        <w:t>(</w:t>
      </w:r>
      <w:r w:rsidRPr="0027264E">
        <w:rPr>
          <w:b/>
          <w:bCs/>
        </w:rPr>
        <w:t>Supplementary Table 1</w:t>
      </w:r>
      <w:r w:rsidRPr="0027264E">
        <w:t>)</w:t>
      </w:r>
      <w:bookmarkEnd w:id="17"/>
      <w:r w:rsidRPr="0027264E">
        <w:t>, it was the time-varying level (</w:t>
      </w:r>
      <w:proofErr w:type="spellStart"/>
      <w:r w:rsidRPr="0027264E">
        <w:t>aHR</w:t>
      </w:r>
      <w:proofErr w:type="spellEnd"/>
      <w:r w:rsidRPr="0027264E">
        <w:t>, 1.43 per log U/mL; 95% CI, 1.16-1.76), instead of the fixed EOT level (</w:t>
      </w:r>
      <w:proofErr w:type="spellStart"/>
      <w:r w:rsidRPr="0027264E">
        <w:t>aHR</w:t>
      </w:r>
      <w:proofErr w:type="spellEnd"/>
      <w:r w:rsidRPr="0027264E">
        <w:t>, 0.78 per log U/L; 95% CI, 0.56-1.11), that was significantly associated with the risk of CR.</w:t>
      </w:r>
    </w:p>
    <w:bookmarkEnd w:id="15"/>
    <w:bookmarkEnd w:id="16"/>
    <w:p w14:paraId="3EF7E9CC" w14:textId="77777777" w:rsidR="0027264E" w:rsidRPr="0027264E" w:rsidRDefault="0027264E" w:rsidP="0027264E">
      <w:pPr>
        <w:spacing w:line="480" w:lineRule="auto"/>
        <w:ind w:rightChars="-24" w:right="-58"/>
        <w:jc w:val="both"/>
        <w:rPr>
          <w:bCs/>
        </w:rPr>
      </w:pPr>
    </w:p>
    <w:p w14:paraId="47D11C1D" w14:textId="77777777" w:rsidR="0027264E" w:rsidRPr="0027264E" w:rsidRDefault="0027264E" w:rsidP="0027264E">
      <w:pPr>
        <w:spacing w:line="480" w:lineRule="auto"/>
        <w:ind w:rightChars="-24" w:right="-58"/>
        <w:jc w:val="both"/>
        <w:rPr>
          <w:b/>
          <w:i/>
        </w:rPr>
      </w:pPr>
      <w:proofErr w:type="spellStart"/>
      <w:r w:rsidRPr="0027264E">
        <w:rPr>
          <w:b/>
          <w:i/>
        </w:rPr>
        <w:t>HB</w:t>
      </w:r>
      <w:r w:rsidRPr="0027264E">
        <w:rPr>
          <w:rFonts w:hint="eastAsia"/>
          <w:b/>
          <w:i/>
        </w:rPr>
        <w:t>c</w:t>
      </w:r>
      <w:r w:rsidRPr="0027264E">
        <w:rPr>
          <w:b/>
          <w:i/>
        </w:rPr>
        <w:t>rAg</w:t>
      </w:r>
      <w:proofErr w:type="spellEnd"/>
      <w:r w:rsidRPr="0027264E">
        <w:rPr>
          <w:b/>
          <w:i/>
        </w:rPr>
        <w:t xml:space="preserve"> level</w:t>
      </w:r>
      <w:r w:rsidRPr="0027264E">
        <w:rPr>
          <w:rFonts w:hint="eastAsia"/>
          <w:b/>
          <w:i/>
        </w:rPr>
        <w:t xml:space="preserve"> </w:t>
      </w:r>
      <w:r w:rsidRPr="0027264E">
        <w:rPr>
          <w:b/>
          <w:i/>
        </w:rPr>
        <w:t>&lt;1,000 U/mL as the cutoff to stratify the risk of CR off NA therapy</w:t>
      </w:r>
    </w:p>
    <w:p w14:paraId="3C3058AE" w14:textId="77777777" w:rsidR="0027264E" w:rsidRPr="0027264E" w:rsidRDefault="0027264E" w:rsidP="0027264E">
      <w:pPr>
        <w:spacing w:line="480" w:lineRule="auto"/>
        <w:ind w:rightChars="-24" w:right="-58"/>
        <w:jc w:val="both"/>
      </w:pPr>
      <w:r w:rsidRPr="0027264E">
        <w:rPr>
          <w:bCs/>
        </w:rPr>
        <w:t xml:space="preserve">At treatment cessation, 98 patients had a serum level of </w:t>
      </w:r>
      <w:bookmarkStart w:id="18" w:name="_Hlk123857775"/>
      <w:proofErr w:type="spellStart"/>
      <w:r w:rsidRPr="0027264E">
        <w:rPr>
          <w:bCs/>
        </w:rPr>
        <w:t>HBcrAg</w:t>
      </w:r>
      <w:proofErr w:type="spellEnd"/>
      <w:r w:rsidRPr="0027264E">
        <w:rPr>
          <w:bCs/>
        </w:rPr>
        <w:t xml:space="preserve"> </w:t>
      </w:r>
      <w:bookmarkEnd w:id="18"/>
      <w:r w:rsidRPr="0027264E">
        <w:rPr>
          <w:bCs/>
        </w:rPr>
        <w:t>&lt;1,000 U/mL and 19 patients (19</w:t>
      </w:r>
      <w:r w:rsidRPr="0027264E">
        <w:rPr>
          <w:rFonts w:hint="eastAsia"/>
          <w:bCs/>
        </w:rPr>
        <w:t>.</w:t>
      </w:r>
      <w:r w:rsidRPr="0027264E">
        <w:rPr>
          <w:bCs/>
        </w:rPr>
        <w:t>4%) in this group developed CR. Conversely, CR occurred in 45 of 105 (42.9%)</w:t>
      </w:r>
      <w:r w:rsidRPr="0027264E">
        <w:rPr>
          <w:rFonts w:hint="eastAsia"/>
          <w:bCs/>
        </w:rPr>
        <w:t xml:space="preserve"> </w:t>
      </w:r>
      <w:r w:rsidRPr="0027264E">
        <w:rPr>
          <w:bCs/>
        </w:rPr>
        <w:t xml:space="preserve">patients with </w:t>
      </w:r>
      <w:proofErr w:type="spellStart"/>
      <w:r w:rsidRPr="0027264E">
        <w:rPr>
          <w:bCs/>
        </w:rPr>
        <w:t>HBcrAg</w:t>
      </w:r>
      <w:proofErr w:type="spellEnd"/>
      <w:r w:rsidRPr="0027264E">
        <w:rPr>
          <w:rFonts w:hint="eastAsia"/>
          <w:bCs/>
        </w:rPr>
        <w:t xml:space="preserve"> </w:t>
      </w:r>
      <w:r w:rsidRPr="0027264E">
        <w:rPr>
          <w:bCs/>
        </w:rPr>
        <w:t>&gt;1,000 U/</w:t>
      </w:r>
      <w:proofErr w:type="spellStart"/>
      <w:r w:rsidRPr="0027264E">
        <w:rPr>
          <w:bCs/>
        </w:rPr>
        <w:t>mL.</w:t>
      </w:r>
      <w:proofErr w:type="spellEnd"/>
      <w:r w:rsidRPr="0027264E">
        <w:rPr>
          <w:bCs/>
        </w:rPr>
        <w:t xml:space="preserve"> Among 114 patients who remained in the cohort without antiviral retreatment during the first year, 11 of 72 (15.3%) patients with </w:t>
      </w:r>
      <w:proofErr w:type="spellStart"/>
      <w:r w:rsidRPr="0027264E">
        <w:rPr>
          <w:bCs/>
        </w:rPr>
        <w:t>HBcrAg</w:t>
      </w:r>
      <w:proofErr w:type="spellEnd"/>
      <w:r w:rsidRPr="0027264E">
        <w:rPr>
          <w:bCs/>
        </w:rPr>
        <w:t xml:space="preserve"> &lt;1,000 U/L, and 7 of 42 (16.7%) patients with </w:t>
      </w:r>
      <w:proofErr w:type="spellStart"/>
      <w:r w:rsidRPr="0027264E">
        <w:rPr>
          <w:bCs/>
        </w:rPr>
        <w:t>HBcrAg</w:t>
      </w:r>
      <w:proofErr w:type="spellEnd"/>
      <w:r w:rsidRPr="0027264E">
        <w:rPr>
          <w:bCs/>
        </w:rPr>
        <w:t xml:space="preserve"> ≥1,000 U/mL, suffered CR, respectively.</w:t>
      </w:r>
      <w:r w:rsidRPr="0027264E">
        <w:t xml:space="preserve"> </w:t>
      </w:r>
      <w:r w:rsidRPr="0027264E">
        <w:rPr>
          <w:bCs/>
        </w:rPr>
        <w:t>In the second year, CR occurred in 3 of 44 (6.8%) and 4 of 27 (14.8%) patients with</w:t>
      </w:r>
      <w:r w:rsidRPr="0027264E">
        <w:rPr>
          <w:rFonts w:hint="eastAsia"/>
        </w:rPr>
        <w:t xml:space="preserve"> </w:t>
      </w:r>
      <w:proofErr w:type="spellStart"/>
      <w:r w:rsidRPr="0027264E">
        <w:rPr>
          <w:bCs/>
        </w:rPr>
        <w:t>HBcrAg</w:t>
      </w:r>
      <w:proofErr w:type="spellEnd"/>
      <w:r w:rsidRPr="0027264E">
        <w:rPr>
          <w:bCs/>
        </w:rPr>
        <w:t xml:space="preserve"> &lt; and ≥1,000 U/mL, respectively.</w:t>
      </w:r>
    </w:p>
    <w:p w14:paraId="25C6E461" w14:textId="77777777" w:rsidR="0027264E" w:rsidRPr="0027264E" w:rsidRDefault="0027264E" w:rsidP="0027264E">
      <w:pPr>
        <w:spacing w:line="480" w:lineRule="auto"/>
        <w:ind w:rightChars="-24" w:right="-58"/>
        <w:jc w:val="both"/>
        <w:rPr>
          <w:bCs/>
        </w:rPr>
      </w:pPr>
    </w:p>
    <w:p w14:paraId="5A34168F" w14:textId="77777777" w:rsidR="0027264E" w:rsidRPr="0027264E" w:rsidRDefault="0027264E" w:rsidP="0027264E">
      <w:pPr>
        <w:spacing w:line="480" w:lineRule="auto"/>
        <w:ind w:rightChars="-24" w:right="-58"/>
        <w:jc w:val="both"/>
        <w:rPr>
          <w:bCs/>
        </w:rPr>
      </w:pPr>
      <w:bookmarkStart w:id="19" w:name="_Hlk124082698"/>
      <w:proofErr w:type="spellStart"/>
      <w:r w:rsidRPr="0027264E">
        <w:rPr>
          <w:bCs/>
        </w:rPr>
        <w:t>HBcrAg</w:t>
      </w:r>
      <w:proofErr w:type="spellEnd"/>
      <w:r w:rsidRPr="0027264E">
        <w:rPr>
          <w:bCs/>
        </w:rPr>
        <w:t xml:space="preserve"> &lt; or ≥1,000 U/mL was analyzed as a time-varying variable </w:t>
      </w:r>
      <w:bookmarkEnd w:id="19"/>
      <w:r w:rsidRPr="0027264E">
        <w:rPr>
          <w:bCs/>
        </w:rPr>
        <w:t xml:space="preserve">in the multivariable Cox proportional hazard model. Serum </w:t>
      </w:r>
      <w:proofErr w:type="spellStart"/>
      <w:r w:rsidRPr="0027264E">
        <w:rPr>
          <w:bCs/>
        </w:rPr>
        <w:t>HBcrAg</w:t>
      </w:r>
      <w:proofErr w:type="spellEnd"/>
      <w:r w:rsidRPr="0027264E">
        <w:rPr>
          <w:bCs/>
        </w:rPr>
        <w:t xml:space="preserve"> &lt;1,000 U/mL predicted a lower risk of off-therapy CR with an </w:t>
      </w:r>
      <w:proofErr w:type="spellStart"/>
      <w:r w:rsidRPr="0027264E">
        <w:rPr>
          <w:bCs/>
        </w:rPr>
        <w:t>aHR</w:t>
      </w:r>
      <w:proofErr w:type="spellEnd"/>
      <w:r w:rsidRPr="0027264E">
        <w:rPr>
          <w:bCs/>
        </w:rPr>
        <w:t xml:space="preserve"> of 0.31(95% CI, 0.17-0.57) (</w:t>
      </w:r>
      <w:r w:rsidRPr="0027264E">
        <w:rPr>
          <w:b/>
        </w:rPr>
        <w:t>Table 3</w:t>
      </w:r>
      <w:r w:rsidRPr="0027264E">
        <w:rPr>
          <w:bCs/>
        </w:rPr>
        <w:t xml:space="preserve">). When dynamic </w:t>
      </w:r>
      <w:proofErr w:type="spellStart"/>
      <w:r w:rsidRPr="0027264E">
        <w:rPr>
          <w:bCs/>
        </w:rPr>
        <w:t>HBcrAg</w:t>
      </w:r>
      <w:proofErr w:type="spellEnd"/>
      <w:r w:rsidRPr="0027264E">
        <w:rPr>
          <w:bCs/>
        </w:rPr>
        <w:t xml:space="preserve"> was compared against EOT </w:t>
      </w:r>
      <w:proofErr w:type="spellStart"/>
      <w:r w:rsidRPr="0027264E">
        <w:rPr>
          <w:bCs/>
        </w:rPr>
        <w:t>HBcrAg</w:t>
      </w:r>
      <w:proofErr w:type="spellEnd"/>
      <w:r w:rsidRPr="0027264E">
        <w:rPr>
          <w:bCs/>
        </w:rPr>
        <w:t>, the time-varying variable again outperformed the fixed level in the association with subsequent CR in the adjusted analysis (</w:t>
      </w:r>
      <w:proofErr w:type="spellStart"/>
      <w:r w:rsidRPr="0027264E">
        <w:rPr>
          <w:bCs/>
        </w:rPr>
        <w:t>aHR</w:t>
      </w:r>
      <w:proofErr w:type="spellEnd"/>
      <w:r w:rsidRPr="0027264E">
        <w:rPr>
          <w:bCs/>
        </w:rPr>
        <w:t>, 0.30; 95% CI, 0.13-0.70) (</w:t>
      </w:r>
      <w:r w:rsidRPr="0027264E">
        <w:rPr>
          <w:b/>
        </w:rPr>
        <w:t>Supplementary Table 2</w:t>
      </w:r>
      <w:r w:rsidRPr="0027264E">
        <w:rPr>
          <w:bCs/>
        </w:rPr>
        <w:t>).</w:t>
      </w:r>
    </w:p>
    <w:p w14:paraId="1B524411" w14:textId="77777777" w:rsidR="0027264E" w:rsidRPr="0027264E" w:rsidRDefault="0027264E" w:rsidP="0027264E">
      <w:pPr>
        <w:spacing w:line="480" w:lineRule="auto"/>
        <w:ind w:rightChars="-24" w:right="-58"/>
        <w:jc w:val="both"/>
        <w:rPr>
          <w:bCs/>
        </w:rPr>
      </w:pPr>
    </w:p>
    <w:p w14:paraId="3E0A0B08" w14:textId="77777777" w:rsidR="0027264E" w:rsidRPr="0027264E" w:rsidRDefault="0027264E" w:rsidP="0027264E">
      <w:pPr>
        <w:spacing w:line="480" w:lineRule="auto"/>
        <w:ind w:rightChars="-24" w:right="-58"/>
        <w:jc w:val="both"/>
        <w:rPr>
          <w:b/>
        </w:rPr>
      </w:pPr>
      <w:r w:rsidRPr="0027264E">
        <w:rPr>
          <w:b/>
        </w:rPr>
        <w:t>DISCUSSION</w:t>
      </w:r>
    </w:p>
    <w:p w14:paraId="2255F6FE" w14:textId="77777777" w:rsidR="0027264E" w:rsidRPr="0027264E" w:rsidRDefault="0027264E" w:rsidP="0027264E">
      <w:pPr>
        <w:spacing w:line="480" w:lineRule="auto"/>
        <w:ind w:rightChars="-24" w:right="-58"/>
        <w:jc w:val="both"/>
        <w:rPr>
          <w:bCs/>
        </w:rPr>
      </w:pPr>
      <w:r w:rsidRPr="0027264E">
        <w:rPr>
          <w:bCs/>
        </w:rPr>
        <w:t xml:space="preserve">In this multicenter cohort study of adult patients with CHB prospectively followed up after cessation of NA, we found that the dynamic measurement of </w:t>
      </w:r>
      <w:proofErr w:type="spellStart"/>
      <w:r w:rsidRPr="0027264E">
        <w:rPr>
          <w:bCs/>
        </w:rPr>
        <w:t>HBcrAg</w:t>
      </w:r>
      <w:proofErr w:type="spellEnd"/>
      <w:r w:rsidRPr="0027264E">
        <w:rPr>
          <w:bCs/>
        </w:rPr>
        <w:t xml:space="preserve"> as a time-varying predictor outperformed the static measurement at treatment cessation to stratify the risk of subsequent CR. However, </w:t>
      </w:r>
      <w:r w:rsidRPr="0027264E">
        <w:rPr>
          <w:rFonts w:hint="eastAsia"/>
          <w:bCs/>
        </w:rPr>
        <w:t>t</w:t>
      </w:r>
      <w:r w:rsidRPr="0027264E">
        <w:rPr>
          <w:bCs/>
        </w:rPr>
        <w:t xml:space="preserve">he change in serum </w:t>
      </w:r>
      <w:proofErr w:type="spellStart"/>
      <w:r w:rsidRPr="0027264E">
        <w:rPr>
          <w:bCs/>
        </w:rPr>
        <w:t>HBcrAg</w:t>
      </w:r>
      <w:proofErr w:type="spellEnd"/>
      <w:r w:rsidRPr="0027264E">
        <w:rPr>
          <w:bCs/>
        </w:rPr>
        <w:t xml:space="preserve"> level was generally mild after cessation of NA and the pattern of changes (i.e., with or without decrease during the predicting year) was not independently associated with CR.</w:t>
      </w:r>
      <w:r w:rsidRPr="0027264E">
        <w:rPr>
          <w:rFonts w:hint="eastAsia"/>
          <w:bCs/>
        </w:rPr>
        <w:t xml:space="preserve"> </w:t>
      </w:r>
      <w:r w:rsidRPr="0027264E">
        <w:rPr>
          <w:bCs/>
        </w:rPr>
        <w:t>We further showed that risk stratification could be achieved by</w:t>
      </w:r>
      <w:r w:rsidRPr="0027264E">
        <w:rPr>
          <w:rFonts w:hint="eastAsia"/>
          <w:bCs/>
        </w:rPr>
        <w:t xml:space="preserve"> </w:t>
      </w:r>
      <w:proofErr w:type="spellStart"/>
      <w:r w:rsidRPr="0027264E">
        <w:rPr>
          <w:bCs/>
        </w:rPr>
        <w:t>HBcrAg</w:t>
      </w:r>
      <w:proofErr w:type="spellEnd"/>
      <w:r w:rsidRPr="0027264E">
        <w:rPr>
          <w:bCs/>
        </w:rPr>
        <w:t xml:space="preserve"> &lt; or ≥ 1,000 U/mL, a convenient cutoff that can be easily applied in daily practice. These findings implicate that dynamic measurement of serum </w:t>
      </w:r>
      <w:proofErr w:type="spellStart"/>
      <w:r w:rsidRPr="0027264E">
        <w:rPr>
          <w:bCs/>
        </w:rPr>
        <w:t>HBcrAg</w:t>
      </w:r>
      <w:proofErr w:type="spellEnd"/>
      <w:r w:rsidRPr="0027264E">
        <w:rPr>
          <w:bCs/>
        </w:rPr>
        <w:t xml:space="preserve"> may inform post-treatment monitoring in CHB patients who stop NA therapy. </w:t>
      </w:r>
    </w:p>
    <w:p w14:paraId="56F133E1" w14:textId="77777777" w:rsidR="0027264E" w:rsidRPr="0027264E" w:rsidRDefault="0027264E" w:rsidP="0027264E">
      <w:pPr>
        <w:spacing w:line="480" w:lineRule="auto"/>
        <w:ind w:rightChars="-24" w:right="-58"/>
        <w:jc w:val="both"/>
        <w:rPr>
          <w:bCs/>
        </w:rPr>
      </w:pPr>
    </w:p>
    <w:p w14:paraId="7E60351F" w14:textId="77777777" w:rsidR="0027264E" w:rsidRPr="0027264E" w:rsidRDefault="0027264E" w:rsidP="0027264E">
      <w:pPr>
        <w:spacing w:line="480" w:lineRule="auto"/>
        <w:ind w:rightChars="-24" w:right="-58"/>
        <w:jc w:val="both"/>
        <w:rPr>
          <w:bCs/>
        </w:rPr>
      </w:pPr>
      <w:r w:rsidRPr="0027264E">
        <w:rPr>
          <w:bCs/>
        </w:rPr>
        <w:t>Identification of patients who can safely withdraw from NA is crucial for the practice of finite NA strategy, and there is an unmet need for accurate and applicable biomarkers. Previous studies have shown that lower HBsAg</w:t>
      </w:r>
      <w:r w:rsidRPr="0027264E">
        <w:rPr>
          <w:rFonts w:hint="eastAsia"/>
          <w:bCs/>
        </w:rPr>
        <w:t xml:space="preserve"> </w:t>
      </w:r>
      <w:r w:rsidRPr="0027264E">
        <w:rPr>
          <w:bCs/>
        </w:rPr>
        <w:t xml:space="preserve">or </w:t>
      </w:r>
      <w:proofErr w:type="spellStart"/>
      <w:r w:rsidRPr="0027264E">
        <w:rPr>
          <w:bCs/>
        </w:rPr>
        <w:t>HBcrAg</w:t>
      </w:r>
      <w:proofErr w:type="spellEnd"/>
      <w:r w:rsidRPr="0027264E">
        <w:rPr>
          <w:bCs/>
        </w:rPr>
        <w:t xml:space="preserve"> level at EOT </w:t>
      </w:r>
      <w:r w:rsidRPr="0027264E">
        <w:rPr>
          <w:rFonts w:hint="eastAsia"/>
          <w:bCs/>
        </w:rPr>
        <w:t>w</w:t>
      </w:r>
      <w:r w:rsidRPr="0027264E">
        <w:rPr>
          <w:bCs/>
        </w:rPr>
        <w:t>ere associated with lower rates of relapse</w:t>
      </w:r>
      <w:r w:rsidRPr="0027264E">
        <w:rPr>
          <w:rFonts w:hint="eastAsia"/>
          <w:bCs/>
        </w:rPr>
        <w:t xml:space="preserve"> </w:t>
      </w:r>
      <w:r w:rsidRPr="0027264E">
        <w:rPr>
          <w:bCs/>
        </w:rPr>
        <w:t>after discontinuation of NA.(</w:t>
      </w:r>
      <w:r w:rsidRPr="0027264E">
        <w:rPr>
          <w:rFonts w:hint="eastAsia"/>
          <w:bCs/>
        </w:rPr>
        <w:t>17</w:t>
      </w:r>
      <w:r w:rsidRPr="0027264E">
        <w:rPr>
          <w:bCs/>
        </w:rPr>
        <w:t xml:space="preserve">, 20) </w:t>
      </w:r>
      <w:proofErr w:type="spellStart"/>
      <w:r w:rsidRPr="0027264E">
        <w:rPr>
          <w:bCs/>
        </w:rPr>
        <w:t>Sonneveld</w:t>
      </w:r>
      <w:proofErr w:type="spellEnd"/>
      <w:r w:rsidRPr="0027264E">
        <w:rPr>
          <w:bCs/>
        </w:rPr>
        <w:t xml:space="preserve"> </w:t>
      </w:r>
      <w:bookmarkStart w:id="20" w:name="_Hlk116920144"/>
      <w:r w:rsidRPr="0027264E">
        <w:rPr>
          <w:bCs/>
        </w:rPr>
        <w:t>et al.</w:t>
      </w:r>
      <w:bookmarkEnd w:id="20"/>
      <w:r w:rsidRPr="0027264E">
        <w:rPr>
          <w:bCs/>
        </w:rPr>
        <w:t xml:space="preserve"> enrolled 572 Asian and European patients</w:t>
      </w:r>
      <w:r w:rsidRPr="0027264E">
        <w:t xml:space="preserve"> with a median NA treatment duration of 295 weeks in a multicenter study and </w:t>
      </w:r>
      <w:r w:rsidRPr="0027264E">
        <w:rPr>
          <w:bCs/>
        </w:rPr>
        <w:t xml:space="preserve">reported that a lower EOT </w:t>
      </w:r>
      <w:proofErr w:type="spellStart"/>
      <w:r w:rsidRPr="0027264E">
        <w:rPr>
          <w:bCs/>
        </w:rPr>
        <w:t>HBcrAg</w:t>
      </w:r>
      <w:proofErr w:type="spellEnd"/>
      <w:r w:rsidRPr="0027264E">
        <w:rPr>
          <w:bCs/>
        </w:rPr>
        <w:t xml:space="preserve"> level was</w:t>
      </w:r>
      <w:r w:rsidRPr="0027264E">
        <w:rPr>
          <w:rFonts w:hint="eastAsia"/>
          <w:bCs/>
        </w:rPr>
        <w:t xml:space="preserve"> </w:t>
      </w:r>
      <w:r w:rsidRPr="0027264E">
        <w:rPr>
          <w:bCs/>
        </w:rPr>
        <w:t>related to better</w:t>
      </w:r>
      <w:r w:rsidRPr="0027264E">
        <w:rPr>
          <w:rFonts w:hint="eastAsia"/>
          <w:bCs/>
        </w:rPr>
        <w:t xml:space="preserve"> </w:t>
      </w:r>
      <w:r w:rsidRPr="0027264E">
        <w:rPr>
          <w:bCs/>
        </w:rPr>
        <w:t>outcomes after cessation of NA</w:t>
      </w:r>
      <w:r w:rsidRPr="0027264E">
        <w:rPr>
          <w:rFonts w:hint="eastAsia"/>
          <w:bCs/>
        </w:rPr>
        <w:t>,</w:t>
      </w:r>
      <w:r w:rsidRPr="0027264E">
        <w:rPr>
          <w:bCs/>
        </w:rPr>
        <w:t xml:space="preserve"> including sustained virologic response, HBsAg loss, and a lower ALT flare rate.(2</w:t>
      </w:r>
      <w:r w:rsidRPr="0027264E">
        <w:rPr>
          <w:rFonts w:hint="eastAsia"/>
          <w:bCs/>
        </w:rPr>
        <w:t>3</w:t>
      </w:r>
      <w:r w:rsidRPr="0027264E">
        <w:rPr>
          <w:bCs/>
        </w:rPr>
        <w:t xml:space="preserve">) </w:t>
      </w:r>
      <w:r w:rsidRPr="0027264E">
        <w:rPr>
          <w:rFonts w:hint="cs"/>
        </w:rPr>
        <w:t>O</w:t>
      </w:r>
      <w:r w:rsidRPr="0027264E">
        <w:t xml:space="preserve">ther studies suggested that a </w:t>
      </w:r>
      <w:r w:rsidRPr="0027264E">
        <w:rPr>
          <w:bCs/>
        </w:rPr>
        <w:t xml:space="preserve">combination of the EOT </w:t>
      </w:r>
      <w:proofErr w:type="spellStart"/>
      <w:r w:rsidRPr="0027264E">
        <w:rPr>
          <w:bCs/>
        </w:rPr>
        <w:t>HBcrAg</w:t>
      </w:r>
      <w:proofErr w:type="spellEnd"/>
      <w:r w:rsidRPr="0027264E">
        <w:rPr>
          <w:bCs/>
        </w:rPr>
        <w:t xml:space="preserve"> level with either HBV RNA or HBsAg level at EOT may be an acceptable predictor of off-therapy relapse.(19, 2</w:t>
      </w:r>
      <w:r w:rsidRPr="0027264E">
        <w:rPr>
          <w:rFonts w:hint="eastAsia"/>
          <w:bCs/>
        </w:rPr>
        <w:t>4</w:t>
      </w:r>
      <w:r w:rsidRPr="0027264E">
        <w:rPr>
          <w:bCs/>
        </w:rPr>
        <w:t>, 2</w:t>
      </w:r>
      <w:r w:rsidRPr="0027264E">
        <w:rPr>
          <w:rFonts w:hint="eastAsia"/>
          <w:bCs/>
        </w:rPr>
        <w:t>5</w:t>
      </w:r>
      <w:r w:rsidRPr="0027264E">
        <w:rPr>
          <w:bCs/>
        </w:rPr>
        <w:t>)</w:t>
      </w:r>
      <w:r w:rsidRPr="0027264E">
        <w:rPr>
          <w:rFonts w:hint="eastAsia"/>
          <w:bCs/>
        </w:rPr>
        <w:t xml:space="preserve"> </w:t>
      </w:r>
      <w:r w:rsidRPr="0027264E">
        <w:rPr>
          <w:bCs/>
        </w:rPr>
        <w:t xml:space="preserve">In the present study, we also found that the incidence of CR was significantly lower among patients with </w:t>
      </w:r>
      <w:proofErr w:type="spellStart"/>
      <w:r w:rsidRPr="0027264E">
        <w:rPr>
          <w:bCs/>
        </w:rPr>
        <w:t>HBcrAg</w:t>
      </w:r>
      <w:proofErr w:type="spellEnd"/>
      <w:r w:rsidRPr="0027264E">
        <w:rPr>
          <w:bCs/>
        </w:rPr>
        <w:t xml:space="preserve"> &lt; 1,000 U/mL at EOT. Moreover, the EOT </w:t>
      </w:r>
      <w:proofErr w:type="spellStart"/>
      <w:r w:rsidRPr="0027264E">
        <w:rPr>
          <w:bCs/>
        </w:rPr>
        <w:t>HBcrAg</w:t>
      </w:r>
      <w:proofErr w:type="spellEnd"/>
      <w:r w:rsidRPr="0027264E">
        <w:rPr>
          <w:bCs/>
        </w:rPr>
        <w:t xml:space="preserve"> level was useful for stratifying the risk of CR after discontinuation of NA. Therefore, a growing body of data support that both EOT HBsAg and EOT </w:t>
      </w:r>
      <w:proofErr w:type="spellStart"/>
      <w:r w:rsidRPr="0027264E">
        <w:rPr>
          <w:bCs/>
        </w:rPr>
        <w:t>HBcrAg</w:t>
      </w:r>
      <w:proofErr w:type="spellEnd"/>
      <w:r w:rsidRPr="0027264E">
        <w:rPr>
          <w:bCs/>
        </w:rPr>
        <w:t xml:space="preserve"> levels can help to assess the risk of clinical hepatitis following NA withdrawal. However, EOT </w:t>
      </w:r>
      <w:proofErr w:type="spellStart"/>
      <w:r w:rsidRPr="0027264E">
        <w:rPr>
          <w:bCs/>
        </w:rPr>
        <w:t>HBcrAg</w:t>
      </w:r>
      <w:proofErr w:type="spellEnd"/>
      <w:r w:rsidRPr="0027264E">
        <w:rPr>
          <w:bCs/>
        </w:rPr>
        <w:t xml:space="preserve"> level alone is not accurate enough to predict CR, as indicated by its AUC of 0.61 (95% CI, 0.53‐0.69) in our study.</w:t>
      </w:r>
    </w:p>
    <w:p w14:paraId="4BE2E62A" w14:textId="77777777" w:rsidR="0027264E" w:rsidRPr="0027264E" w:rsidRDefault="0027264E" w:rsidP="0027264E">
      <w:pPr>
        <w:spacing w:line="480" w:lineRule="auto"/>
        <w:ind w:rightChars="-24" w:right="-58"/>
        <w:jc w:val="both"/>
        <w:rPr>
          <w:bCs/>
        </w:rPr>
      </w:pPr>
    </w:p>
    <w:p w14:paraId="5AA4B57E" w14:textId="77777777" w:rsidR="0027264E" w:rsidRPr="0027264E" w:rsidRDefault="0027264E" w:rsidP="0027264E">
      <w:pPr>
        <w:spacing w:line="480" w:lineRule="auto"/>
        <w:ind w:rightChars="-24" w:right="-58"/>
        <w:jc w:val="both"/>
        <w:rPr>
          <w:bCs/>
        </w:rPr>
      </w:pPr>
      <w:r w:rsidRPr="0027264E">
        <w:rPr>
          <w:bCs/>
        </w:rPr>
        <w:t xml:space="preserve">After NA cessation, the serum levels of HBsAg and </w:t>
      </w:r>
      <w:proofErr w:type="spellStart"/>
      <w:r w:rsidRPr="0027264E">
        <w:rPr>
          <w:bCs/>
        </w:rPr>
        <w:t>HBcrAg</w:t>
      </w:r>
      <w:proofErr w:type="spellEnd"/>
      <w:r w:rsidRPr="0027264E">
        <w:rPr>
          <w:bCs/>
        </w:rPr>
        <w:t xml:space="preserve"> may change over time, and </w:t>
      </w:r>
      <w:r w:rsidRPr="0027264E">
        <w:rPr>
          <w:bCs/>
        </w:rPr>
        <w:lastRenderedPageBreak/>
        <w:t>it is far less clear whether dynamic measurements may add to the accuracy of prediction for subsequent CR. In our prior study with</w:t>
      </w:r>
      <w:r w:rsidRPr="0027264E">
        <w:t xml:space="preserve"> 140 patients, we reported </w:t>
      </w:r>
      <w:r w:rsidRPr="0027264E">
        <w:rPr>
          <w:bCs/>
        </w:rPr>
        <w:t>that the time-varying gradient of serum HBsAg was associated with both clinical</w:t>
      </w:r>
      <w:r w:rsidRPr="0027264E">
        <w:rPr>
          <w:rFonts w:hint="eastAsia"/>
          <w:bCs/>
        </w:rPr>
        <w:t xml:space="preserve"> </w:t>
      </w:r>
      <w:r w:rsidRPr="0027264E">
        <w:rPr>
          <w:bCs/>
        </w:rPr>
        <w:t xml:space="preserve">and virological </w:t>
      </w:r>
      <w:proofErr w:type="gramStart"/>
      <w:r w:rsidRPr="0027264E">
        <w:rPr>
          <w:bCs/>
        </w:rPr>
        <w:t>relapse.(</w:t>
      </w:r>
      <w:proofErr w:type="gramEnd"/>
      <w:r w:rsidRPr="0027264E">
        <w:rPr>
          <w:bCs/>
        </w:rPr>
        <w:t>2</w:t>
      </w:r>
      <w:r w:rsidRPr="0027264E">
        <w:rPr>
          <w:rFonts w:hint="eastAsia"/>
          <w:bCs/>
        </w:rPr>
        <w:t>6</w:t>
      </w:r>
      <w:r w:rsidRPr="0027264E">
        <w:rPr>
          <w:bCs/>
        </w:rPr>
        <w:t>) In the present study, we demonstrated for the first time that</w:t>
      </w:r>
      <w:r w:rsidRPr="0027264E">
        <w:rPr>
          <w:rFonts w:hint="eastAsia"/>
          <w:bCs/>
        </w:rPr>
        <w:t xml:space="preserve"> </w:t>
      </w:r>
      <w:r w:rsidRPr="0027264E">
        <w:rPr>
          <w:bCs/>
        </w:rPr>
        <w:t xml:space="preserve">serum </w:t>
      </w:r>
      <w:proofErr w:type="spellStart"/>
      <w:r w:rsidRPr="0027264E">
        <w:rPr>
          <w:bCs/>
        </w:rPr>
        <w:t>HBcrAg</w:t>
      </w:r>
      <w:proofErr w:type="spellEnd"/>
      <w:r w:rsidRPr="0027264E">
        <w:rPr>
          <w:bCs/>
        </w:rPr>
        <w:t xml:space="preserve"> could fluctuate after NA withdrawal and, more importantly, the time-varying level of serum </w:t>
      </w:r>
      <w:proofErr w:type="spellStart"/>
      <w:r w:rsidRPr="0027264E">
        <w:rPr>
          <w:bCs/>
        </w:rPr>
        <w:t>HBcrAg</w:t>
      </w:r>
      <w:proofErr w:type="spellEnd"/>
      <w:r w:rsidRPr="0027264E">
        <w:rPr>
          <w:bCs/>
        </w:rPr>
        <w:t xml:space="preserve"> was more accurate than the static EOT level to predict the risk of CR. These findings referred to that the most recent measurement of serum </w:t>
      </w:r>
      <w:proofErr w:type="spellStart"/>
      <w:r w:rsidRPr="0027264E">
        <w:rPr>
          <w:bCs/>
        </w:rPr>
        <w:t>HBcrAg</w:t>
      </w:r>
      <w:proofErr w:type="spellEnd"/>
      <w:r w:rsidRPr="0027264E">
        <w:rPr>
          <w:bCs/>
        </w:rPr>
        <w:t xml:space="preserve"> significantly outperformed the EOT level in predicting CR among patients who had not yet experienced a relapse</w:t>
      </w:r>
      <w:r w:rsidRPr="0027264E">
        <w:rPr>
          <w:rFonts w:hint="eastAsia"/>
          <w:bCs/>
        </w:rPr>
        <w:t xml:space="preserve"> </w:t>
      </w:r>
      <w:r w:rsidRPr="0027264E">
        <w:rPr>
          <w:rFonts w:hint="eastAsia"/>
          <w:b/>
        </w:rPr>
        <w:t>(</w:t>
      </w:r>
      <w:r w:rsidRPr="0027264E">
        <w:rPr>
          <w:b/>
        </w:rPr>
        <w:t>Supplementary Figure 1</w:t>
      </w:r>
      <w:r w:rsidRPr="0027264E">
        <w:rPr>
          <w:rFonts w:hint="eastAsia"/>
          <w:bCs/>
        </w:rPr>
        <w:t xml:space="preserve">) </w:t>
      </w:r>
      <w:r w:rsidRPr="0027264E">
        <w:rPr>
          <w:bCs/>
        </w:rPr>
        <w:t>and may have important implications in clinical care of patients who stop NA therapy. Currently, only serum HBV DNA and ALT levels are recommended in guidelines for post-treatment monitoring. (2</w:t>
      </w:r>
      <w:r w:rsidRPr="0027264E">
        <w:rPr>
          <w:rFonts w:hint="eastAsia"/>
          <w:bCs/>
        </w:rPr>
        <w:t>7</w:t>
      </w:r>
      <w:r w:rsidRPr="0027264E">
        <w:rPr>
          <w:bCs/>
        </w:rPr>
        <w:t xml:space="preserve">) Though these two biomarkers are crucial, they usually disclose an imminent event rather than provide an early forecast. A fierce surge in viremia usually predicts an acute HBV flare-up is near, and elevation of serum ALT is actually a marker of liver injury that has already occurred. Based on our finding, post-treatment dynamic measurements of HBsAg and </w:t>
      </w:r>
      <w:proofErr w:type="spellStart"/>
      <w:r w:rsidRPr="0027264E">
        <w:rPr>
          <w:bCs/>
        </w:rPr>
        <w:t>HBcrAg</w:t>
      </w:r>
      <w:proofErr w:type="spellEnd"/>
      <w:r w:rsidRPr="0027264E">
        <w:rPr>
          <w:bCs/>
        </w:rPr>
        <w:t xml:space="preserve"> may complement HBV DNA and ALT to monitor those who discontinue NA</w:t>
      </w:r>
      <w:r w:rsidRPr="0027264E">
        <w:rPr>
          <w:rFonts w:hint="eastAsia"/>
          <w:bCs/>
        </w:rPr>
        <w:t>.</w:t>
      </w:r>
    </w:p>
    <w:p w14:paraId="7BD3939D" w14:textId="77777777" w:rsidR="0027264E" w:rsidRPr="0027264E" w:rsidRDefault="0027264E" w:rsidP="0027264E">
      <w:pPr>
        <w:spacing w:line="480" w:lineRule="auto"/>
        <w:ind w:rightChars="-24" w:right="-58"/>
        <w:jc w:val="both"/>
        <w:rPr>
          <w:bCs/>
        </w:rPr>
      </w:pPr>
    </w:p>
    <w:p w14:paraId="7ED2DD00" w14:textId="77777777" w:rsidR="0027264E" w:rsidRPr="0027264E" w:rsidRDefault="0027264E" w:rsidP="0027264E">
      <w:pPr>
        <w:spacing w:line="480" w:lineRule="auto"/>
        <w:ind w:rightChars="-24" w:right="-58"/>
        <w:jc w:val="both"/>
        <w:rPr>
          <w:bCs/>
        </w:rPr>
      </w:pPr>
      <w:r w:rsidRPr="0027264E">
        <w:rPr>
          <w:bCs/>
        </w:rPr>
        <w:t xml:space="preserve">While serum </w:t>
      </w:r>
      <w:proofErr w:type="spellStart"/>
      <w:r w:rsidRPr="0027264E">
        <w:rPr>
          <w:bCs/>
        </w:rPr>
        <w:t>HBcrAg</w:t>
      </w:r>
      <w:proofErr w:type="spellEnd"/>
      <w:r w:rsidRPr="0027264E">
        <w:rPr>
          <w:bCs/>
        </w:rPr>
        <w:t xml:space="preserve"> levels may change over time following NA cessation, we found that the fluctuation was generally mild during the first and second years off-NA therapy. </w:t>
      </w:r>
      <w:r w:rsidRPr="0027264E">
        <w:rPr>
          <w:bCs/>
        </w:rPr>
        <w:lastRenderedPageBreak/>
        <w:t xml:space="preserve">In fact, the serum level of </w:t>
      </w:r>
      <w:proofErr w:type="spellStart"/>
      <w:r w:rsidRPr="0027264E">
        <w:rPr>
          <w:bCs/>
        </w:rPr>
        <w:t>HBcrAg</w:t>
      </w:r>
      <w:proofErr w:type="spellEnd"/>
      <w:r w:rsidRPr="0027264E">
        <w:rPr>
          <w:bCs/>
        </w:rPr>
        <w:t xml:space="preserve"> was stable without marked increase or decrease in most patients. Accordingly, it seemed reasonable that the pattern of changes in serum </w:t>
      </w:r>
      <w:proofErr w:type="spellStart"/>
      <w:r w:rsidRPr="0027264E">
        <w:rPr>
          <w:bCs/>
        </w:rPr>
        <w:t>HBcrAg</w:t>
      </w:r>
      <w:proofErr w:type="spellEnd"/>
      <w:r w:rsidRPr="0027264E">
        <w:rPr>
          <w:bCs/>
        </w:rPr>
        <w:t xml:space="preserve"> was not significantly associated with CR, because the interval difference was mild for most patients. This finding suggested that cessation of NA therapy did not significantly affect the transcriptional activity of HBV cccDNA but further research, preferably with quantitative analysis of viral expression in the hepatocytes, is needed to fully understand the biological underpinning.</w:t>
      </w:r>
    </w:p>
    <w:p w14:paraId="7A7549A6" w14:textId="77777777" w:rsidR="0027264E" w:rsidRPr="0027264E" w:rsidRDefault="0027264E" w:rsidP="0027264E">
      <w:pPr>
        <w:spacing w:line="480" w:lineRule="auto"/>
        <w:ind w:rightChars="-24" w:right="-58"/>
        <w:jc w:val="both"/>
        <w:rPr>
          <w:bCs/>
        </w:rPr>
      </w:pPr>
    </w:p>
    <w:p w14:paraId="009760DE" w14:textId="77777777" w:rsidR="0027264E" w:rsidRPr="0027264E" w:rsidRDefault="0027264E" w:rsidP="0027264E">
      <w:pPr>
        <w:spacing w:line="480" w:lineRule="auto"/>
        <w:ind w:rightChars="-24" w:right="-58"/>
        <w:jc w:val="both"/>
        <w:rPr>
          <w:bCs/>
        </w:rPr>
      </w:pPr>
      <w:r w:rsidRPr="0027264E">
        <w:rPr>
          <w:bCs/>
        </w:rPr>
        <w:t>The</w:t>
      </w:r>
      <w:r w:rsidRPr="0027264E">
        <w:t xml:space="preserve"> </w:t>
      </w:r>
      <w:r w:rsidRPr="0027264E">
        <w:rPr>
          <w:bCs/>
        </w:rPr>
        <w:t>strengths of our study are as follows:</w:t>
      </w:r>
      <w:r w:rsidRPr="0027264E">
        <w:rPr>
          <w:rFonts w:hint="eastAsia"/>
          <w:bCs/>
        </w:rPr>
        <w:t xml:space="preserve"> </w:t>
      </w:r>
      <w:r w:rsidRPr="0027264E">
        <w:rPr>
          <w:bCs/>
        </w:rPr>
        <w:t xml:space="preserve">First, </w:t>
      </w:r>
      <w:proofErr w:type="spellStart"/>
      <w:r w:rsidRPr="0027264E">
        <w:rPr>
          <w:bCs/>
        </w:rPr>
        <w:t>HBcrAg</w:t>
      </w:r>
      <w:proofErr w:type="spellEnd"/>
      <w:r w:rsidRPr="0027264E">
        <w:rPr>
          <w:bCs/>
        </w:rPr>
        <w:t xml:space="preserve"> kinetics during the off-therapy period were assessed using serum </w:t>
      </w:r>
      <w:proofErr w:type="spellStart"/>
      <w:r w:rsidRPr="0027264E">
        <w:rPr>
          <w:bCs/>
        </w:rPr>
        <w:t>HBcrAg</w:t>
      </w:r>
      <w:proofErr w:type="spellEnd"/>
      <w:r w:rsidRPr="0027264E">
        <w:rPr>
          <w:bCs/>
        </w:rPr>
        <w:t xml:space="preserve"> measurements regularly obtained</w:t>
      </w:r>
      <w:r w:rsidRPr="0027264E">
        <w:rPr>
          <w:rFonts w:hint="eastAsia"/>
          <w:bCs/>
        </w:rPr>
        <w:t xml:space="preserve"> </w:t>
      </w:r>
      <w:r w:rsidRPr="0027264E">
        <w:rPr>
          <w:bCs/>
        </w:rPr>
        <w:t>three times according to a prespecified protocol. Second, the participants were prospectively enrolled from multiple sites and the concern of selection bias commonly observed in</w:t>
      </w:r>
      <w:r w:rsidRPr="0027264E">
        <w:rPr>
          <w:rFonts w:hint="eastAsia"/>
          <w:bCs/>
        </w:rPr>
        <w:t xml:space="preserve"> </w:t>
      </w:r>
      <w:r w:rsidRPr="0027264E">
        <w:rPr>
          <w:bCs/>
        </w:rPr>
        <w:t>retrospective analyses and/or single-center experience could be mitigated. Third, patients who took either entecavir or</w:t>
      </w:r>
      <w:r w:rsidRPr="0027264E">
        <w:rPr>
          <w:rFonts w:hint="eastAsia"/>
          <w:bCs/>
        </w:rPr>
        <w:t xml:space="preserve"> </w:t>
      </w:r>
      <w:r w:rsidRPr="0027264E">
        <w:rPr>
          <w:bCs/>
        </w:rPr>
        <w:t xml:space="preserve">tenofovir were included, which reflects the current standard of care. Although the patterns of relapse for patients on these two regimens </w:t>
      </w:r>
      <w:proofErr w:type="gramStart"/>
      <w:r w:rsidRPr="0027264E">
        <w:rPr>
          <w:bCs/>
        </w:rPr>
        <w:t>differ,(</w:t>
      </w:r>
      <w:proofErr w:type="gramEnd"/>
      <w:r w:rsidRPr="0027264E">
        <w:rPr>
          <w:bCs/>
        </w:rPr>
        <w:t>2</w:t>
      </w:r>
      <w:r w:rsidRPr="0027264E">
        <w:rPr>
          <w:rFonts w:hint="eastAsia"/>
          <w:bCs/>
        </w:rPr>
        <w:t>8</w:t>
      </w:r>
      <w:r w:rsidRPr="0027264E">
        <w:rPr>
          <w:bCs/>
        </w:rPr>
        <w:t xml:space="preserve">) </w:t>
      </w:r>
      <w:r w:rsidRPr="0027264E">
        <w:t xml:space="preserve">the design of this study more closely reflects daily clinical practice. </w:t>
      </w:r>
      <w:r w:rsidRPr="0027264E">
        <w:rPr>
          <w:rFonts w:hint="eastAsia"/>
        </w:rPr>
        <w:t>F</w:t>
      </w:r>
      <w:r w:rsidRPr="0027264E">
        <w:t xml:space="preserve">ourth, </w:t>
      </w:r>
      <w:r w:rsidRPr="0027264E">
        <w:rPr>
          <w:bCs/>
        </w:rPr>
        <w:t>the follow-up period was sufficiently long enough to observe</w:t>
      </w:r>
      <w:r w:rsidRPr="0027264E">
        <w:rPr>
          <w:rFonts w:hint="eastAsia"/>
          <w:bCs/>
        </w:rPr>
        <w:t xml:space="preserve"> </w:t>
      </w:r>
      <w:r w:rsidRPr="0027264E">
        <w:rPr>
          <w:bCs/>
        </w:rPr>
        <w:t xml:space="preserve">the outcomes after cessation of NA. Even though the incidence of hepatitis flares was high, and </w:t>
      </w:r>
      <w:r w:rsidRPr="0027264E">
        <w:rPr>
          <w:rFonts w:hint="eastAsia"/>
          <w:bCs/>
        </w:rPr>
        <w:t>m</w:t>
      </w:r>
      <w:r w:rsidRPr="0027264E">
        <w:rPr>
          <w:bCs/>
        </w:rPr>
        <w:t>any patients resumed NA and discontinued observation, more than one-third of the patients (</w:t>
      </w:r>
      <w:r w:rsidRPr="0027264E">
        <w:rPr>
          <w:bCs/>
          <w:i/>
          <w:iCs/>
        </w:rPr>
        <w:t xml:space="preserve">n </w:t>
      </w:r>
      <w:r w:rsidRPr="0027264E">
        <w:rPr>
          <w:bCs/>
        </w:rPr>
        <w:t>= 74, 36.5%) in</w:t>
      </w:r>
      <w:r w:rsidRPr="0027264E">
        <w:rPr>
          <w:rFonts w:hint="eastAsia"/>
          <w:bCs/>
        </w:rPr>
        <w:t xml:space="preserve"> </w:t>
      </w:r>
      <w:r w:rsidRPr="0027264E">
        <w:rPr>
          <w:bCs/>
        </w:rPr>
        <w:t xml:space="preserve">this </w:t>
      </w:r>
      <w:r w:rsidRPr="0027264E">
        <w:rPr>
          <w:bCs/>
        </w:rPr>
        <w:lastRenderedPageBreak/>
        <w:t xml:space="preserve">cohort remained at risk of CR after 3 years of follow‐up. Finally, our multivariable Cox proportional hazard analysis was developed with the adjustment for EOT HBsAg level and EOT </w:t>
      </w:r>
      <w:proofErr w:type="spellStart"/>
      <w:r w:rsidRPr="0027264E">
        <w:rPr>
          <w:bCs/>
        </w:rPr>
        <w:t>HBcrAg</w:t>
      </w:r>
      <w:proofErr w:type="spellEnd"/>
      <w:r w:rsidRPr="0027264E">
        <w:rPr>
          <w:bCs/>
        </w:rPr>
        <w:t xml:space="preserve"> level that were important factors associated with subsequent CR</w:t>
      </w:r>
      <w:r w:rsidRPr="0027264E">
        <w:rPr>
          <w:rFonts w:hint="eastAsia"/>
          <w:bCs/>
        </w:rPr>
        <w:t xml:space="preserve"> a</w:t>
      </w:r>
      <w:r w:rsidRPr="0027264E">
        <w:rPr>
          <w:bCs/>
        </w:rPr>
        <w:t xml:space="preserve">fter NA cessation. </w:t>
      </w:r>
    </w:p>
    <w:p w14:paraId="4A6BC5FE" w14:textId="77777777" w:rsidR="0027264E" w:rsidRPr="0027264E" w:rsidRDefault="0027264E" w:rsidP="0027264E">
      <w:pPr>
        <w:spacing w:line="480" w:lineRule="auto"/>
        <w:ind w:rightChars="-24" w:right="-58"/>
        <w:jc w:val="both"/>
        <w:rPr>
          <w:bCs/>
        </w:rPr>
      </w:pPr>
    </w:p>
    <w:p w14:paraId="23977499" w14:textId="77777777" w:rsidR="0027264E" w:rsidRPr="0027264E" w:rsidRDefault="0027264E" w:rsidP="0027264E">
      <w:pPr>
        <w:spacing w:line="480" w:lineRule="auto"/>
        <w:ind w:rightChars="-24" w:right="-58"/>
        <w:jc w:val="both"/>
        <w:rPr>
          <w:bCs/>
        </w:rPr>
      </w:pPr>
      <w:r w:rsidRPr="0027264E">
        <w:rPr>
          <w:bCs/>
        </w:rPr>
        <w:t>There are several limitations to this study. First, due to the health insurance policy in Taiwan, the present study enrolled patients with a median treatment duration of 36.9</w:t>
      </w:r>
      <w:r w:rsidRPr="0027264E">
        <w:t xml:space="preserve"> </w:t>
      </w:r>
      <w:r w:rsidRPr="0027264E">
        <w:rPr>
          <w:bCs/>
        </w:rPr>
        <w:t>months</w:t>
      </w:r>
      <w:r w:rsidRPr="0027264E">
        <w:rPr>
          <w:rFonts w:hint="eastAsia"/>
          <w:bCs/>
        </w:rPr>
        <w:t xml:space="preserve"> </w:t>
      </w:r>
      <w:r w:rsidRPr="0027264E">
        <w:rPr>
          <w:bCs/>
        </w:rPr>
        <w:t>(IQR, 36.5-40.1). (2) The small range of the treatment duration may lead to selection bias, and we could not examine the association between the duration and</w:t>
      </w:r>
      <w:r w:rsidRPr="0027264E">
        <w:t xml:space="preserve"> </w:t>
      </w:r>
      <w:r w:rsidRPr="0027264E">
        <w:rPr>
          <w:bCs/>
        </w:rPr>
        <w:t xml:space="preserve">outcome of treatment. Second, </w:t>
      </w:r>
      <w:bookmarkStart w:id="21" w:name="_Hlk141828510"/>
      <w:r w:rsidRPr="0027264E">
        <w:rPr>
          <w:bCs/>
        </w:rPr>
        <w:t>we could</w:t>
      </w:r>
      <w:bookmarkEnd w:id="21"/>
      <w:r w:rsidRPr="0027264E">
        <w:rPr>
          <w:rFonts w:hint="eastAsia"/>
          <w:bCs/>
        </w:rPr>
        <w:t xml:space="preserve"> </w:t>
      </w:r>
      <w:r w:rsidRPr="0027264E">
        <w:rPr>
          <w:bCs/>
        </w:rPr>
        <w:t xml:space="preserve">not precisely quantify serum </w:t>
      </w:r>
      <w:proofErr w:type="spellStart"/>
      <w:r w:rsidRPr="0027264E">
        <w:rPr>
          <w:bCs/>
        </w:rPr>
        <w:t>HBcrAg</w:t>
      </w:r>
      <w:proofErr w:type="spellEnd"/>
      <w:r w:rsidRPr="0027264E">
        <w:rPr>
          <w:bCs/>
        </w:rPr>
        <w:t xml:space="preserve"> levels when </w:t>
      </w:r>
      <w:proofErr w:type="spellStart"/>
      <w:r w:rsidRPr="0027264E">
        <w:rPr>
          <w:bCs/>
        </w:rPr>
        <w:t>HBcrAg</w:t>
      </w:r>
      <w:proofErr w:type="spellEnd"/>
      <w:r w:rsidRPr="0027264E">
        <w:rPr>
          <w:bCs/>
        </w:rPr>
        <w:t xml:space="preserve"> levels were lower than </w:t>
      </w:r>
      <w:r w:rsidRPr="0027264E">
        <w:rPr>
          <w:rFonts w:hint="eastAsia"/>
          <w:bCs/>
        </w:rPr>
        <w:t>1</w:t>
      </w:r>
      <w:r w:rsidRPr="0027264E">
        <w:rPr>
          <w:bCs/>
        </w:rPr>
        <w:t>,</w:t>
      </w:r>
      <w:r w:rsidRPr="0027264E">
        <w:rPr>
          <w:rFonts w:hint="eastAsia"/>
          <w:bCs/>
        </w:rPr>
        <w:t xml:space="preserve">000 </w:t>
      </w:r>
      <w:r w:rsidRPr="0027264E">
        <w:rPr>
          <w:bCs/>
        </w:rPr>
        <w:t>U/</w:t>
      </w:r>
      <w:proofErr w:type="spellStart"/>
      <w:r w:rsidRPr="0027264E">
        <w:rPr>
          <w:bCs/>
        </w:rPr>
        <w:t>mL.</w:t>
      </w:r>
      <w:proofErr w:type="spellEnd"/>
      <w:r w:rsidRPr="0027264E">
        <w:rPr>
          <w:bCs/>
        </w:rPr>
        <w:t xml:space="preserve"> However, the same commercial assay was employed in several prior studies, and is widely used in the clinic. (29) Third, this cohort only included Asian patients and the most common HBV genotypes were type B or C. (29) Finally, we could not exactly investigate the association between the relapse risks and the different patterns of patients with non-decreased </w:t>
      </w:r>
      <w:proofErr w:type="spellStart"/>
      <w:r w:rsidRPr="0027264E">
        <w:rPr>
          <w:bCs/>
        </w:rPr>
        <w:t>HBcrAg</w:t>
      </w:r>
      <w:proofErr w:type="spellEnd"/>
      <w:r w:rsidRPr="0027264E">
        <w:rPr>
          <w:bCs/>
        </w:rPr>
        <w:t xml:space="preserve"> level because of the limited number of patients remained untreated. Therefore, future studies of more participants with different ethnicities, HBV genotypes and NA treatment durations are required to validate our findings. </w:t>
      </w:r>
    </w:p>
    <w:p w14:paraId="0460CFED" w14:textId="77777777" w:rsidR="0027264E" w:rsidRPr="0027264E" w:rsidRDefault="0027264E" w:rsidP="0027264E">
      <w:pPr>
        <w:spacing w:line="480" w:lineRule="auto"/>
        <w:ind w:rightChars="-24" w:right="-58"/>
        <w:jc w:val="both"/>
        <w:rPr>
          <w:bCs/>
        </w:rPr>
      </w:pPr>
    </w:p>
    <w:p w14:paraId="28ECB9E3" w14:textId="11156F5F" w:rsidR="0027264E" w:rsidRDefault="0027264E" w:rsidP="0027264E">
      <w:pPr>
        <w:spacing w:line="480" w:lineRule="auto"/>
        <w:ind w:rightChars="-24" w:right="-58"/>
        <w:jc w:val="both"/>
        <w:rPr>
          <w:rFonts w:hint="eastAsia"/>
        </w:rPr>
      </w:pPr>
      <w:r w:rsidRPr="0027264E">
        <w:rPr>
          <w:bCs/>
        </w:rPr>
        <w:lastRenderedPageBreak/>
        <w:t xml:space="preserve">In conclusion, this study revealed that the dynamic measurements of serum </w:t>
      </w:r>
      <w:proofErr w:type="spellStart"/>
      <w:r w:rsidRPr="0027264E">
        <w:rPr>
          <w:bCs/>
        </w:rPr>
        <w:t>HBcrAg</w:t>
      </w:r>
      <w:proofErr w:type="spellEnd"/>
      <w:r w:rsidRPr="0027264E">
        <w:rPr>
          <w:bCs/>
        </w:rPr>
        <w:t xml:space="preserve"> after cessation of NA outperformed the EOT </w:t>
      </w:r>
      <w:proofErr w:type="spellStart"/>
      <w:r w:rsidRPr="0027264E">
        <w:rPr>
          <w:bCs/>
        </w:rPr>
        <w:t>HBcrAg</w:t>
      </w:r>
      <w:proofErr w:type="spellEnd"/>
      <w:r w:rsidRPr="0027264E">
        <w:rPr>
          <w:bCs/>
        </w:rPr>
        <w:t xml:space="preserve"> level as an independent risk factor for subsequent CR.</w:t>
      </w:r>
      <w:r w:rsidRPr="0027264E">
        <w:rPr>
          <w:rFonts w:hint="eastAsia"/>
          <w:bCs/>
        </w:rPr>
        <w:t xml:space="preserve"> </w:t>
      </w:r>
      <w:proofErr w:type="spellStart"/>
      <w:r w:rsidRPr="0027264E">
        <w:rPr>
          <w:bCs/>
        </w:rPr>
        <w:t>HBcrAg</w:t>
      </w:r>
      <w:proofErr w:type="spellEnd"/>
      <w:r w:rsidRPr="0027264E">
        <w:rPr>
          <w:bCs/>
        </w:rPr>
        <w:t xml:space="preserve"> level &lt; 1,000 U/mL could be a useful cutoff value to forecast a low risk of subsequent CR during the off-therapy follow-up</w:t>
      </w:r>
      <w:r w:rsidRPr="0027264E">
        <w:rPr>
          <w:rFonts w:hint="eastAsia"/>
          <w:bCs/>
        </w:rPr>
        <w:t>.</w:t>
      </w:r>
      <w:r w:rsidRPr="0027264E">
        <w:rPr>
          <w:bCs/>
        </w:rPr>
        <w:t xml:space="preserve"> </w:t>
      </w:r>
      <w:r w:rsidRPr="0027264E">
        <w:rPr>
          <w:rFonts w:hint="eastAsia"/>
          <w:bCs/>
        </w:rPr>
        <w:t>Th</w:t>
      </w:r>
      <w:r w:rsidRPr="0027264E">
        <w:rPr>
          <w:bCs/>
        </w:rPr>
        <w:t>ese finding could help to design a safer monitoring strategy for patients who discontinue NA</w:t>
      </w:r>
      <w:r w:rsidRPr="0027264E">
        <w:rPr>
          <w:rFonts w:hint="eastAsia"/>
          <w:bCs/>
        </w:rPr>
        <w:t xml:space="preserve"> a</w:t>
      </w:r>
      <w:r w:rsidRPr="0027264E">
        <w:rPr>
          <w:bCs/>
        </w:rPr>
        <w:t>nd may inspire</w:t>
      </w:r>
      <w:r w:rsidRPr="0027264E">
        <w:rPr>
          <w:rFonts w:hint="eastAsia"/>
          <w:bCs/>
        </w:rPr>
        <w:t xml:space="preserve"> </w:t>
      </w:r>
      <w:r w:rsidRPr="0027264E">
        <w:rPr>
          <w:bCs/>
        </w:rPr>
        <w:t>further research to optimize the finite strategy of NA therapy.</w:t>
      </w:r>
    </w:p>
    <w:p w14:paraId="7F8E3479" w14:textId="34E08890" w:rsidR="00861DBB" w:rsidRDefault="00861DBB" w:rsidP="007B5678">
      <w:pPr>
        <w:spacing w:line="480" w:lineRule="auto"/>
        <w:ind w:rightChars="-24" w:right="-58"/>
        <w:jc w:val="both"/>
      </w:pPr>
    </w:p>
    <w:p w14:paraId="5B6166E9" w14:textId="77777777" w:rsidR="00D16713" w:rsidRPr="00D16713" w:rsidRDefault="00D16713" w:rsidP="00D16713">
      <w:pPr>
        <w:spacing w:line="480" w:lineRule="auto"/>
        <w:ind w:rightChars="-24" w:right="-58"/>
        <w:jc w:val="both"/>
        <w:rPr>
          <w:b/>
          <w:bCs/>
        </w:rPr>
      </w:pPr>
      <w:r w:rsidRPr="00D16713">
        <w:rPr>
          <w:b/>
          <w:bCs/>
        </w:rPr>
        <w:t xml:space="preserve">REFERENCES: </w:t>
      </w:r>
    </w:p>
    <w:p w14:paraId="3863555D" w14:textId="77777777" w:rsidR="0027264E" w:rsidRPr="0027264E" w:rsidRDefault="0027264E" w:rsidP="0027264E">
      <w:pPr>
        <w:spacing w:line="480" w:lineRule="auto"/>
        <w:rPr>
          <w:noProof/>
          <w:color w:val="000000"/>
          <w:szCs w:val="22"/>
        </w:rPr>
      </w:pPr>
      <w:r w:rsidRPr="0027264E">
        <w:rPr>
          <w:noProof/>
          <w:color w:val="000000"/>
          <w:szCs w:val="22"/>
        </w:rPr>
        <w:t>1.</w:t>
      </w:r>
      <w:r w:rsidRPr="0027264E">
        <w:rPr>
          <w:noProof/>
          <w:color w:val="000000"/>
          <w:szCs w:val="22"/>
        </w:rPr>
        <w:tab/>
        <w:t>Chang TT, Liaw YF, Wu SS, Schiff E, Han KH, Lai CL, et al. Long-term entecavir therapy results in the reversal of fibrosis/cirrhosis and continued histological improvement in patients with chronic hepatitis B. Hepatology. 2010;52(3):886-93.</w:t>
      </w:r>
    </w:p>
    <w:p w14:paraId="55CEADB2" w14:textId="77777777" w:rsidR="0027264E" w:rsidRPr="0027264E" w:rsidRDefault="0027264E" w:rsidP="0027264E">
      <w:pPr>
        <w:spacing w:line="480" w:lineRule="auto"/>
        <w:rPr>
          <w:noProof/>
          <w:color w:val="000000"/>
          <w:szCs w:val="22"/>
        </w:rPr>
      </w:pPr>
      <w:r w:rsidRPr="0027264E">
        <w:rPr>
          <w:rFonts w:hint="eastAsia"/>
          <w:noProof/>
          <w:color w:val="000000"/>
          <w:szCs w:val="22"/>
        </w:rPr>
        <w:t>2</w:t>
      </w:r>
      <w:r w:rsidRPr="0027264E">
        <w:rPr>
          <w:noProof/>
          <w:color w:val="000000"/>
          <w:szCs w:val="22"/>
        </w:rPr>
        <w:t>.</w:t>
      </w:r>
      <w:r w:rsidRPr="0027264E">
        <w:rPr>
          <w:noProof/>
          <w:color w:val="000000"/>
          <w:szCs w:val="22"/>
        </w:rPr>
        <w:tab/>
        <w:t>Chiang CJ, Yang YW, Chen JD, You SL, Yang HI, Lee MH, et al. Significant reduction in end-stage liver diseases burden through the national viral hepatitis therapy program in Taiwan. Hepatology. 2015;61(4):1154-62.</w:t>
      </w:r>
    </w:p>
    <w:p w14:paraId="74EA687E" w14:textId="77777777" w:rsidR="0027264E" w:rsidRPr="0027264E" w:rsidRDefault="0027264E" w:rsidP="0027264E">
      <w:pPr>
        <w:spacing w:line="480" w:lineRule="auto"/>
        <w:rPr>
          <w:noProof/>
          <w:color w:val="000000"/>
          <w:szCs w:val="22"/>
        </w:rPr>
      </w:pPr>
      <w:r w:rsidRPr="0027264E">
        <w:rPr>
          <w:rFonts w:hint="eastAsia"/>
          <w:noProof/>
          <w:color w:val="000000"/>
          <w:szCs w:val="22"/>
        </w:rPr>
        <w:t>3</w:t>
      </w:r>
      <w:r w:rsidRPr="0027264E">
        <w:rPr>
          <w:noProof/>
          <w:color w:val="000000"/>
          <w:szCs w:val="22"/>
        </w:rPr>
        <w:t>.</w:t>
      </w:r>
      <w:r w:rsidRPr="0027264E">
        <w:rPr>
          <w:noProof/>
          <w:color w:val="000000"/>
          <w:szCs w:val="22"/>
        </w:rPr>
        <w:tab/>
        <w:t>Wu CY, Lin JT, Ho HJ, Su CW, Lee TY, Wang SY, et al. Association of nucleos(t)ide analogue therapy with reduced risk of hepatocellular carcinoma in patients with chronic hepatitis B: A nationwide cohort study. Gastroenterology. 2014;147(1):143-51.e5.</w:t>
      </w:r>
    </w:p>
    <w:p w14:paraId="5FB79A04" w14:textId="77777777" w:rsidR="0027264E" w:rsidRPr="0027264E" w:rsidRDefault="0027264E" w:rsidP="0027264E">
      <w:pPr>
        <w:spacing w:line="480" w:lineRule="auto"/>
        <w:rPr>
          <w:noProof/>
          <w:color w:val="000000"/>
          <w:szCs w:val="22"/>
        </w:rPr>
      </w:pPr>
      <w:r w:rsidRPr="0027264E">
        <w:rPr>
          <w:rFonts w:hint="eastAsia"/>
          <w:noProof/>
          <w:color w:val="000000"/>
          <w:szCs w:val="22"/>
        </w:rPr>
        <w:t>4</w:t>
      </w:r>
      <w:r w:rsidRPr="0027264E">
        <w:rPr>
          <w:noProof/>
          <w:color w:val="000000"/>
          <w:szCs w:val="22"/>
        </w:rPr>
        <w:t>.</w:t>
      </w:r>
      <w:r w:rsidRPr="0027264E">
        <w:rPr>
          <w:noProof/>
          <w:color w:val="000000"/>
          <w:szCs w:val="22"/>
        </w:rPr>
        <w:tab/>
        <w:t xml:space="preserve">Werle-Lapostolle B, Bowden S, Locarnini S, Wursthorn K, Petersen J, Lau G, et </w:t>
      </w:r>
      <w:r w:rsidRPr="0027264E">
        <w:rPr>
          <w:noProof/>
          <w:color w:val="000000"/>
          <w:szCs w:val="22"/>
        </w:rPr>
        <w:lastRenderedPageBreak/>
        <w:t>al. Persistence of cccDNA during the natural history of chronic hepatitis B and decline during adefovir dipivoxil therapy. Gastroenterology. 2004;126(7):1750-8.</w:t>
      </w:r>
    </w:p>
    <w:p w14:paraId="219C6931" w14:textId="77777777" w:rsidR="0027264E" w:rsidRPr="0027264E" w:rsidRDefault="0027264E" w:rsidP="0027264E">
      <w:pPr>
        <w:spacing w:line="480" w:lineRule="auto"/>
        <w:rPr>
          <w:noProof/>
          <w:color w:val="000000"/>
          <w:szCs w:val="22"/>
        </w:rPr>
      </w:pPr>
      <w:r w:rsidRPr="0027264E">
        <w:rPr>
          <w:rFonts w:hint="eastAsia"/>
          <w:noProof/>
          <w:color w:val="000000"/>
          <w:szCs w:val="22"/>
        </w:rPr>
        <w:t>5</w:t>
      </w:r>
      <w:r w:rsidRPr="0027264E">
        <w:rPr>
          <w:noProof/>
          <w:color w:val="000000"/>
          <w:szCs w:val="22"/>
        </w:rPr>
        <w:t>.</w:t>
      </w:r>
      <w:r w:rsidRPr="0027264E">
        <w:rPr>
          <w:noProof/>
          <w:color w:val="000000"/>
          <w:szCs w:val="22"/>
        </w:rPr>
        <w:tab/>
        <w:t>Chevaliez S, Hézode C, Bahrami S, Grare M, Pawlotsky JM. Long-term hepatitis B surface antigen (HBsAg) kinetics during nucleoside/nucleotide analogue therapy: Finite treatment duration unlikely. J Hepatol. 2013;58(4):676-83.</w:t>
      </w:r>
    </w:p>
    <w:p w14:paraId="087C3932" w14:textId="77777777" w:rsidR="0027264E" w:rsidRPr="0027264E" w:rsidRDefault="0027264E" w:rsidP="0027264E">
      <w:pPr>
        <w:spacing w:line="480" w:lineRule="auto"/>
        <w:rPr>
          <w:noProof/>
          <w:color w:val="000000"/>
          <w:szCs w:val="22"/>
        </w:rPr>
      </w:pPr>
      <w:r w:rsidRPr="0027264E">
        <w:rPr>
          <w:rFonts w:hint="eastAsia"/>
          <w:noProof/>
          <w:color w:val="000000"/>
          <w:szCs w:val="22"/>
        </w:rPr>
        <w:t>6</w:t>
      </w:r>
      <w:r w:rsidRPr="0027264E">
        <w:rPr>
          <w:noProof/>
          <w:color w:val="000000"/>
          <w:szCs w:val="22"/>
        </w:rPr>
        <w:t>.</w:t>
      </w:r>
      <w:r w:rsidRPr="0027264E">
        <w:rPr>
          <w:noProof/>
          <w:color w:val="000000"/>
          <w:szCs w:val="22"/>
        </w:rPr>
        <w:tab/>
        <w:t>Seto WK, Hui AJ, Wong VW, Wong GL, Liu KS, Lai CL, et al. Treatment cessation of entecavir in Asian patients with hepatitis B e antigen negative chronic hepatitis B: A multicentre prospective study. Gut. 2015;64(4):667-72.</w:t>
      </w:r>
    </w:p>
    <w:p w14:paraId="20AAF614" w14:textId="77777777" w:rsidR="0027264E" w:rsidRPr="0027264E" w:rsidRDefault="0027264E" w:rsidP="0027264E">
      <w:pPr>
        <w:spacing w:line="480" w:lineRule="auto"/>
        <w:rPr>
          <w:noProof/>
          <w:color w:val="000000"/>
          <w:szCs w:val="22"/>
        </w:rPr>
      </w:pPr>
      <w:r w:rsidRPr="0027264E">
        <w:rPr>
          <w:rFonts w:hint="eastAsia"/>
          <w:noProof/>
          <w:color w:val="000000"/>
          <w:szCs w:val="22"/>
        </w:rPr>
        <w:t>7</w:t>
      </w:r>
      <w:r w:rsidRPr="0027264E">
        <w:rPr>
          <w:noProof/>
          <w:color w:val="000000"/>
          <w:szCs w:val="22"/>
        </w:rPr>
        <w:t>.</w:t>
      </w:r>
      <w:r w:rsidRPr="0027264E">
        <w:rPr>
          <w:noProof/>
          <w:color w:val="000000"/>
          <w:szCs w:val="22"/>
        </w:rPr>
        <w:tab/>
        <w:t>Hsu YC, Wu JL, Tseng CH, Nguyen MH, Lin CW, Hung CL. Severe acute exacerbation after cessation of nucleos(t)ide analog for chronic hepatitis B: A real-world study of routine practice. Clin Gastroenterol Hepatol. 2022;20(6):1413-5.e3.</w:t>
      </w:r>
    </w:p>
    <w:p w14:paraId="59AF189C" w14:textId="77777777" w:rsidR="0027264E" w:rsidRPr="0027264E" w:rsidRDefault="0027264E" w:rsidP="0027264E">
      <w:pPr>
        <w:spacing w:line="480" w:lineRule="auto"/>
        <w:rPr>
          <w:noProof/>
          <w:color w:val="000000"/>
          <w:szCs w:val="22"/>
        </w:rPr>
      </w:pPr>
      <w:r w:rsidRPr="0027264E">
        <w:rPr>
          <w:rFonts w:hint="eastAsia"/>
          <w:noProof/>
          <w:color w:val="000000"/>
          <w:szCs w:val="22"/>
        </w:rPr>
        <w:t>8</w:t>
      </w:r>
      <w:r w:rsidRPr="0027264E">
        <w:rPr>
          <w:noProof/>
          <w:color w:val="000000"/>
          <w:szCs w:val="22"/>
        </w:rPr>
        <w:t>.</w:t>
      </w:r>
      <w:r w:rsidRPr="0027264E">
        <w:rPr>
          <w:noProof/>
          <w:color w:val="000000"/>
          <w:szCs w:val="22"/>
        </w:rPr>
        <w:tab/>
        <w:t>Berg T, Simon KG, Mauss S, Schott E, Heyne R, Klass DM, et al. Long-term response after stopping tenofovir disoproxil fumarate in non-cirrhotic HBeAg-negative patients - FINITE study. J Hepatol. 2017;67(5):918-24.</w:t>
      </w:r>
    </w:p>
    <w:p w14:paraId="2D4FED1E" w14:textId="77777777" w:rsidR="0027264E" w:rsidRPr="0027264E" w:rsidRDefault="0027264E" w:rsidP="0027264E">
      <w:pPr>
        <w:spacing w:line="480" w:lineRule="auto"/>
        <w:rPr>
          <w:noProof/>
          <w:color w:val="000000"/>
          <w:szCs w:val="22"/>
        </w:rPr>
      </w:pPr>
      <w:r w:rsidRPr="0027264E">
        <w:rPr>
          <w:rFonts w:hint="eastAsia"/>
          <w:noProof/>
          <w:color w:val="000000"/>
          <w:szCs w:val="22"/>
        </w:rPr>
        <w:t>9</w:t>
      </w:r>
      <w:r w:rsidRPr="0027264E">
        <w:rPr>
          <w:noProof/>
          <w:color w:val="000000"/>
          <w:szCs w:val="22"/>
        </w:rPr>
        <w:t>.</w:t>
      </w:r>
      <w:r w:rsidRPr="0027264E">
        <w:rPr>
          <w:noProof/>
          <w:color w:val="000000"/>
          <w:szCs w:val="22"/>
        </w:rPr>
        <w:tab/>
        <w:t>Jeng WJ, Chen YC, Chien RN, Sheen IS, Liaw YF. Incidence and predictors of hepatitis B surface antigen seroclearance after cessation of nucleos(t)ide analogue therapy in hepatitis B e antigen-negative chronic hepatitis B. Hepatology. 2018;68(2):425-34.</w:t>
      </w:r>
    </w:p>
    <w:p w14:paraId="6E486692" w14:textId="77777777" w:rsidR="0027264E" w:rsidRPr="0027264E" w:rsidRDefault="0027264E" w:rsidP="0027264E">
      <w:pPr>
        <w:spacing w:line="480" w:lineRule="auto"/>
        <w:rPr>
          <w:noProof/>
          <w:color w:val="000000"/>
          <w:szCs w:val="22"/>
        </w:rPr>
      </w:pPr>
      <w:r w:rsidRPr="0027264E">
        <w:rPr>
          <w:rFonts w:hint="eastAsia"/>
          <w:noProof/>
          <w:color w:val="000000"/>
          <w:szCs w:val="22"/>
        </w:rPr>
        <w:t>10</w:t>
      </w:r>
      <w:r w:rsidRPr="0027264E">
        <w:rPr>
          <w:noProof/>
          <w:color w:val="000000"/>
          <w:szCs w:val="22"/>
        </w:rPr>
        <w:t>.</w:t>
      </w:r>
      <w:r w:rsidRPr="0027264E">
        <w:rPr>
          <w:noProof/>
          <w:color w:val="000000"/>
          <w:szCs w:val="22"/>
        </w:rPr>
        <w:tab/>
        <w:t xml:space="preserve">Rinker F, Zimmer CL, Höner Zu Siederdissen C, Manns MP, Kraft ARM, </w:t>
      </w:r>
      <w:r w:rsidRPr="0027264E">
        <w:rPr>
          <w:noProof/>
          <w:color w:val="000000"/>
          <w:szCs w:val="22"/>
        </w:rPr>
        <w:lastRenderedPageBreak/>
        <w:t>Wedemeyer H, et al. Hepatitis B virus-specific T cell responses after stopping nucleos(t)ide analogue therapy in HBeAg-negative chronic hepatitis B. J Hepatol. 2018;69(3):584-93.</w:t>
      </w:r>
    </w:p>
    <w:p w14:paraId="6A93E499" w14:textId="77777777" w:rsidR="0027264E" w:rsidRPr="0027264E" w:rsidRDefault="0027264E" w:rsidP="0027264E">
      <w:pPr>
        <w:spacing w:line="480" w:lineRule="auto"/>
        <w:rPr>
          <w:noProof/>
          <w:color w:val="000000"/>
          <w:szCs w:val="22"/>
        </w:rPr>
      </w:pPr>
      <w:r w:rsidRPr="0027264E">
        <w:rPr>
          <w:rFonts w:hint="eastAsia"/>
          <w:noProof/>
          <w:color w:val="000000"/>
          <w:szCs w:val="22"/>
        </w:rPr>
        <w:t>11</w:t>
      </w:r>
      <w:r w:rsidRPr="0027264E">
        <w:rPr>
          <w:noProof/>
          <w:color w:val="000000"/>
          <w:szCs w:val="22"/>
        </w:rPr>
        <w:t>.</w:t>
      </w:r>
      <w:r w:rsidRPr="0027264E">
        <w:rPr>
          <w:noProof/>
          <w:color w:val="000000"/>
          <w:szCs w:val="22"/>
        </w:rPr>
        <w:tab/>
        <w:t>Rivino L, Le Bert N, Gill US, Kunasegaran K, Cheng Y, Tan DZ, et al. Hepatitis B virus-specific T cells associate with viral control upon nucleos(t)ide-analogue therapy discontinuation. J Clin Invest. 2018;128(2):668-81.</w:t>
      </w:r>
    </w:p>
    <w:p w14:paraId="46B5C1A2" w14:textId="77777777" w:rsidR="0027264E" w:rsidRPr="0027264E" w:rsidRDefault="0027264E" w:rsidP="0027264E">
      <w:pPr>
        <w:spacing w:line="480" w:lineRule="auto"/>
        <w:rPr>
          <w:noProof/>
          <w:color w:val="000000"/>
          <w:szCs w:val="22"/>
        </w:rPr>
      </w:pPr>
      <w:r w:rsidRPr="0027264E">
        <w:rPr>
          <w:rFonts w:hint="eastAsia"/>
          <w:noProof/>
          <w:color w:val="000000"/>
          <w:szCs w:val="22"/>
        </w:rPr>
        <w:t>12</w:t>
      </w:r>
      <w:r w:rsidRPr="0027264E">
        <w:rPr>
          <w:noProof/>
          <w:color w:val="000000"/>
          <w:szCs w:val="22"/>
        </w:rPr>
        <w:t>.</w:t>
      </w:r>
      <w:r w:rsidRPr="0027264E">
        <w:rPr>
          <w:noProof/>
          <w:color w:val="000000"/>
          <w:szCs w:val="22"/>
        </w:rPr>
        <w:tab/>
        <w:t>Kimura T, Rokuhara A, Sakamoto Y, Yagi S, Tanaka E, Kiyosawa K, et al. Sensitive enzyme immunoassay for hepatitis B virus core-related antigens and their correlation to virus load. J Clin Microbiol. 2002;40(2):439-45.</w:t>
      </w:r>
    </w:p>
    <w:p w14:paraId="45D24DF3" w14:textId="77777777" w:rsidR="0027264E" w:rsidRPr="0027264E" w:rsidRDefault="0027264E" w:rsidP="0027264E">
      <w:pPr>
        <w:spacing w:line="480" w:lineRule="auto"/>
        <w:rPr>
          <w:noProof/>
          <w:color w:val="000000"/>
          <w:szCs w:val="22"/>
        </w:rPr>
      </w:pPr>
      <w:r w:rsidRPr="0027264E">
        <w:rPr>
          <w:noProof/>
          <w:color w:val="000000"/>
          <w:szCs w:val="22"/>
        </w:rPr>
        <w:t>1</w:t>
      </w:r>
      <w:r w:rsidRPr="0027264E">
        <w:rPr>
          <w:rFonts w:hint="eastAsia"/>
          <w:noProof/>
          <w:color w:val="000000"/>
          <w:szCs w:val="22"/>
        </w:rPr>
        <w:t>3</w:t>
      </w:r>
      <w:r w:rsidRPr="0027264E">
        <w:rPr>
          <w:noProof/>
          <w:color w:val="000000"/>
          <w:szCs w:val="22"/>
        </w:rPr>
        <w:t>.</w:t>
      </w:r>
      <w:r w:rsidRPr="0027264E">
        <w:rPr>
          <w:noProof/>
          <w:color w:val="000000"/>
          <w:szCs w:val="22"/>
        </w:rPr>
        <w:tab/>
        <w:t>Wong DK, Seto WK, Cheung KS, Chong CK, Huang FY, Fung J, et al. Hepatitis B virus core-related antigen as a surrogate marker for covalently closed circular DNA. Liver Int. 2017;37(7):995-1001.</w:t>
      </w:r>
    </w:p>
    <w:p w14:paraId="300544E9" w14:textId="77777777" w:rsidR="0027264E" w:rsidRPr="0027264E" w:rsidRDefault="0027264E" w:rsidP="0027264E">
      <w:pPr>
        <w:spacing w:line="480" w:lineRule="auto"/>
        <w:rPr>
          <w:noProof/>
          <w:color w:val="000000"/>
          <w:szCs w:val="22"/>
        </w:rPr>
      </w:pPr>
      <w:r w:rsidRPr="0027264E">
        <w:rPr>
          <w:rFonts w:hint="eastAsia"/>
          <w:noProof/>
          <w:color w:val="000000"/>
          <w:szCs w:val="22"/>
        </w:rPr>
        <w:t>14</w:t>
      </w:r>
      <w:r w:rsidRPr="0027264E">
        <w:rPr>
          <w:noProof/>
          <w:color w:val="000000"/>
          <w:szCs w:val="22"/>
        </w:rPr>
        <w:t>.</w:t>
      </w:r>
      <w:r w:rsidRPr="0027264E">
        <w:rPr>
          <w:noProof/>
          <w:color w:val="000000"/>
          <w:szCs w:val="22"/>
        </w:rPr>
        <w:tab/>
        <w:t>Chen EQ, Feng S, Wang ML, Liang LB, Zhou LY, Du LY, et al. Serum hepatitis B core-related antigen is a satisfactory surrogate marker of intrahepatic covalently closed circular DNA in chronic hepatitis B. Sci Rep. 2017;7(1):173.</w:t>
      </w:r>
    </w:p>
    <w:p w14:paraId="55316C1F" w14:textId="77777777" w:rsidR="0027264E" w:rsidRPr="0027264E" w:rsidRDefault="0027264E" w:rsidP="0027264E">
      <w:pPr>
        <w:spacing w:line="480" w:lineRule="auto"/>
        <w:rPr>
          <w:noProof/>
          <w:color w:val="000000"/>
          <w:szCs w:val="22"/>
        </w:rPr>
      </w:pPr>
      <w:r w:rsidRPr="0027264E">
        <w:rPr>
          <w:rFonts w:hint="eastAsia"/>
          <w:noProof/>
          <w:color w:val="000000"/>
          <w:szCs w:val="22"/>
        </w:rPr>
        <w:t>15</w:t>
      </w:r>
      <w:r w:rsidRPr="0027264E">
        <w:rPr>
          <w:noProof/>
          <w:color w:val="000000"/>
          <w:szCs w:val="22"/>
        </w:rPr>
        <w:t>.</w:t>
      </w:r>
      <w:r w:rsidRPr="0027264E">
        <w:rPr>
          <w:noProof/>
          <w:color w:val="000000"/>
          <w:szCs w:val="22"/>
        </w:rPr>
        <w:tab/>
        <w:t>Mak LY, Wong DK, Cheung KS, Seto WK, Lai CL, Yuen MF. Review article: Hepatitis B core-related antigen (HBcrAg): an emerging marker for chronic hepatitis B virus infection. Aliment Pharmacol Ther. 2018;47(1):43-54.</w:t>
      </w:r>
    </w:p>
    <w:p w14:paraId="640DB40E" w14:textId="77777777" w:rsidR="0027264E" w:rsidRPr="0027264E" w:rsidRDefault="0027264E" w:rsidP="0027264E">
      <w:pPr>
        <w:spacing w:line="480" w:lineRule="auto"/>
        <w:rPr>
          <w:noProof/>
          <w:color w:val="000000"/>
          <w:szCs w:val="22"/>
        </w:rPr>
      </w:pPr>
      <w:r w:rsidRPr="0027264E">
        <w:rPr>
          <w:rFonts w:hint="eastAsia"/>
          <w:noProof/>
          <w:color w:val="000000"/>
          <w:szCs w:val="22"/>
        </w:rPr>
        <w:t>16</w:t>
      </w:r>
      <w:r w:rsidRPr="0027264E">
        <w:rPr>
          <w:noProof/>
          <w:color w:val="000000"/>
          <w:szCs w:val="22"/>
        </w:rPr>
        <w:t>.</w:t>
      </w:r>
      <w:r w:rsidRPr="0027264E">
        <w:rPr>
          <w:noProof/>
          <w:color w:val="000000"/>
          <w:szCs w:val="22"/>
        </w:rPr>
        <w:tab/>
        <w:t xml:space="preserve">Inoue T, Tanaka Y. The role of hepatitis B core-related antigen. Genes (Basel). </w:t>
      </w:r>
      <w:r w:rsidRPr="0027264E">
        <w:rPr>
          <w:noProof/>
          <w:color w:val="000000"/>
          <w:szCs w:val="22"/>
        </w:rPr>
        <w:lastRenderedPageBreak/>
        <w:t>2019;10(5)</w:t>
      </w:r>
      <w:r w:rsidRPr="0027264E">
        <w:rPr>
          <w:rFonts w:hint="eastAsia"/>
          <w:noProof/>
          <w:color w:val="000000"/>
          <w:szCs w:val="22"/>
        </w:rPr>
        <w:t>: 357</w:t>
      </w:r>
      <w:r w:rsidRPr="0027264E">
        <w:rPr>
          <w:noProof/>
          <w:color w:val="000000"/>
          <w:szCs w:val="22"/>
        </w:rPr>
        <w:t>.</w:t>
      </w:r>
    </w:p>
    <w:p w14:paraId="7CC17245" w14:textId="77777777" w:rsidR="0027264E" w:rsidRPr="0027264E" w:rsidRDefault="0027264E" w:rsidP="0027264E">
      <w:pPr>
        <w:spacing w:line="480" w:lineRule="auto"/>
        <w:rPr>
          <w:noProof/>
          <w:color w:val="000000"/>
          <w:szCs w:val="22"/>
        </w:rPr>
      </w:pPr>
      <w:r w:rsidRPr="0027264E">
        <w:rPr>
          <w:rFonts w:hint="eastAsia"/>
          <w:noProof/>
          <w:color w:val="000000"/>
          <w:szCs w:val="22"/>
        </w:rPr>
        <w:t>17</w:t>
      </w:r>
      <w:r w:rsidRPr="0027264E">
        <w:rPr>
          <w:noProof/>
          <w:color w:val="000000"/>
          <w:szCs w:val="22"/>
        </w:rPr>
        <w:t>.</w:t>
      </w:r>
      <w:r w:rsidRPr="0027264E">
        <w:rPr>
          <w:noProof/>
          <w:color w:val="000000"/>
          <w:szCs w:val="22"/>
        </w:rPr>
        <w:tab/>
        <w:t>Shinkai N, Tanaka Y, Orito E, Ito K, Ohno T, Hirashima N, et al. Measurement of hepatitis B virus core-related antigen as predicting factor for relapse after cessation of lamivudine therapy for chronic hepatitis B virus infection. Hepatol Res. 2006;36(4):272-6.</w:t>
      </w:r>
    </w:p>
    <w:p w14:paraId="2449C491" w14:textId="77777777" w:rsidR="0027264E" w:rsidRPr="0027264E" w:rsidRDefault="0027264E" w:rsidP="0027264E">
      <w:pPr>
        <w:spacing w:line="480" w:lineRule="auto"/>
        <w:rPr>
          <w:noProof/>
          <w:color w:val="000000"/>
          <w:szCs w:val="22"/>
        </w:rPr>
      </w:pPr>
      <w:r w:rsidRPr="0027264E">
        <w:rPr>
          <w:rFonts w:hint="eastAsia"/>
          <w:noProof/>
          <w:color w:val="000000"/>
          <w:szCs w:val="22"/>
        </w:rPr>
        <w:t>18</w:t>
      </w:r>
      <w:r w:rsidRPr="0027264E">
        <w:rPr>
          <w:noProof/>
          <w:color w:val="000000"/>
          <w:szCs w:val="22"/>
        </w:rPr>
        <w:t>.</w:t>
      </w:r>
      <w:r w:rsidRPr="0027264E">
        <w:rPr>
          <w:noProof/>
          <w:color w:val="000000"/>
          <w:szCs w:val="22"/>
        </w:rPr>
        <w:tab/>
        <w:t>Matsumoto A, Tanaka E, Suzuki Y, Kobayashi M, Tanaka Y, Shinkai N, et al. Combination of hepatitis B viral antigens and DNA for prediction of relapse after discontinuation of nucleos(t)ide analogs in patients with chronic hepatitis B. Hepatol Res. 2012;42(2):139-49.</w:t>
      </w:r>
    </w:p>
    <w:p w14:paraId="3D06C020" w14:textId="77777777" w:rsidR="0027264E" w:rsidRPr="0027264E" w:rsidRDefault="0027264E" w:rsidP="0027264E">
      <w:pPr>
        <w:spacing w:line="480" w:lineRule="auto"/>
        <w:rPr>
          <w:noProof/>
          <w:color w:val="000000"/>
          <w:szCs w:val="22"/>
        </w:rPr>
      </w:pPr>
      <w:r w:rsidRPr="0027264E">
        <w:rPr>
          <w:rFonts w:hint="eastAsia"/>
          <w:noProof/>
          <w:color w:val="000000"/>
          <w:szCs w:val="22"/>
        </w:rPr>
        <w:t>19</w:t>
      </w:r>
      <w:r w:rsidRPr="0027264E">
        <w:rPr>
          <w:noProof/>
          <w:color w:val="000000"/>
          <w:szCs w:val="22"/>
        </w:rPr>
        <w:t>.</w:t>
      </w:r>
      <w:r w:rsidRPr="0027264E">
        <w:rPr>
          <w:noProof/>
          <w:color w:val="000000"/>
          <w:szCs w:val="22"/>
        </w:rPr>
        <w:tab/>
        <w:t>Hsu YC, Nguyen MH, Mo LR, Wu MS, Yang TH, Chen CC, et al. Combining hepatitis B core-related and surface antigens at end of nucleos(t)ide analogue treatment to predict off-therapy relapse risk. Aliment Pharmacol Ther. 2019;49(1):107-15.</w:t>
      </w:r>
    </w:p>
    <w:p w14:paraId="4705501C" w14:textId="77777777" w:rsidR="0027264E" w:rsidRPr="0027264E" w:rsidRDefault="0027264E" w:rsidP="0027264E">
      <w:pPr>
        <w:spacing w:line="480" w:lineRule="auto"/>
        <w:rPr>
          <w:noProof/>
          <w:color w:val="000000"/>
          <w:szCs w:val="22"/>
        </w:rPr>
      </w:pPr>
      <w:r w:rsidRPr="0027264E">
        <w:rPr>
          <w:noProof/>
          <w:color w:val="000000"/>
          <w:szCs w:val="22"/>
        </w:rPr>
        <w:t>2</w:t>
      </w:r>
      <w:r w:rsidRPr="0027264E">
        <w:rPr>
          <w:rFonts w:hint="eastAsia"/>
          <w:noProof/>
          <w:color w:val="000000"/>
          <w:szCs w:val="22"/>
        </w:rPr>
        <w:t>0</w:t>
      </w:r>
      <w:r w:rsidRPr="0027264E">
        <w:rPr>
          <w:noProof/>
          <w:color w:val="000000"/>
          <w:szCs w:val="22"/>
        </w:rPr>
        <w:t>.</w:t>
      </w:r>
      <w:r w:rsidRPr="0027264E">
        <w:rPr>
          <w:noProof/>
          <w:color w:val="000000"/>
          <w:szCs w:val="22"/>
        </w:rPr>
        <w:tab/>
        <w:t>Hsu YC, Mo LR, Chang CY, Wu MS, Kao JH, Wang WL, et al. Association between serum level of hepatitis B surface antigen at end of entecavir therapy and risk of relapse in E antigen-negative patients. Clin Gastroenterol Hepatol. 2016;14(10):1490-8.e3.</w:t>
      </w:r>
    </w:p>
    <w:p w14:paraId="31DF1CC3" w14:textId="77777777" w:rsidR="0027264E" w:rsidRPr="0027264E" w:rsidRDefault="0027264E" w:rsidP="0027264E">
      <w:pPr>
        <w:spacing w:line="480" w:lineRule="auto"/>
        <w:rPr>
          <w:noProof/>
          <w:color w:val="000000"/>
          <w:szCs w:val="22"/>
        </w:rPr>
      </w:pPr>
      <w:r w:rsidRPr="0027264E">
        <w:rPr>
          <w:noProof/>
          <w:color w:val="000000"/>
          <w:szCs w:val="22"/>
        </w:rPr>
        <w:t xml:space="preserve">21.Sarin SK, Kumar M, Lau GK, Abbas Z, Chan HL, Chen CJ, et al. Asian-Pacific clinical practice guidelines on the management of hepatitis B: a 2015 update. Hepatol Int. 2016;10(1):1-98. </w:t>
      </w:r>
    </w:p>
    <w:p w14:paraId="575F2F78" w14:textId="77777777" w:rsidR="0027264E" w:rsidRPr="0027264E" w:rsidRDefault="0027264E" w:rsidP="0027264E">
      <w:pPr>
        <w:spacing w:line="480" w:lineRule="auto"/>
        <w:rPr>
          <w:noProof/>
          <w:color w:val="000000"/>
          <w:szCs w:val="22"/>
        </w:rPr>
      </w:pPr>
      <w:r w:rsidRPr="0027264E">
        <w:rPr>
          <w:rFonts w:hint="eastAsia"/>
          <w:noProof/>
          <w:color w:val="000000"/>
          <w:szCs w:val="22"/>
        </w:rPr>
        <w:lastRenderedPageBreak/>
        <w:t>22.</w:t>
      </w:r>
      <w:r w:rsidRPr="0027264E">
        <w:rPr>
          <w:noProof/>
          <w:color w:val="000000"/>
          <w:szCs w:val="22"/>
        </w:rPr>
        <w:tab/>
        <w:t>Drafting Committee for Hepatitis Management G, the Japan Society</w:t>
      </w:r>
      <w:r w:rsidRPr="0027264E">
        <w:rPr>
          <w:rFonts w:hint="eastAsia"/>
          <w:noProof/>
          <w:color w:val="000000"/>
          <w:szCs w:val="22"/>
        </w:rPr>
        <w:t xml:space="preserve"> </w:t>
      </w:r>
      <w:r w:rsidRPr="0027264E">
        <w:rPr>
          <w:noProof/>
          <w:color w:val="000000"/>
          <w:szCs w:val="22"/>
        </w:rPr>
        <w:t>of H. JSH Guidelines for the management of hepatitis B virus infection.</w:t>
      </w:r>
      <w:r w:rsidRPr="0027264E">
        <w:rPr>
          <w:rFonts w:hint="eastAsia"/>
          <w:noProof/>
          <w:color w:val="000000"/>
          <w:szCs w:val="22"/>
        </w:rPr>
        <w:t xml:space="preserve"> </w:t>
      </w:r>
      <w:r w:rsidRPr="0027264E">
        <w:rPr>
          <w:noProof/>
          <w:color w:val="000000"/>
          <w:szCs w:val="22"/>
        </w:rPr>
        <w:t>Hepatol Res. 2014;44:1–58.</w:t>
      </w:r>
    </w:p>
    <w:p w14:paraId="79ACE522" w14:textId="77777777" w:rsidR="0027264E" w:rsidRPr="0027264E" w:rsidRDefault="0027264E" w:rsidP="0027264E">
      <w:pPr>
        <w:spacing w:line="480" w:lineRule="auto"/>
        <w:rPr>
          <w:noProof/>
          <w:color w:val="000000"/>
          <w:szCs w:val="22"/>
        </w:rPr>
      </w:pPr>
      <w:r w:rsidRPr="0027264E">
        <w:rPr>
          <w:noProof/>
          <w:color w:val="000000"/>
          <w:szCs w:val="22"/>
        </w:rPr>
        <w:t>2</w:t>
      </w:r>
      <w:r w:rsidRPr="0027264E">
        <w:rPr>
          <w:rFonts w:hint="eastAsia"/>
          <w:noProof/>
          <w:color w:val="000000"/>
          <w:szCs w:val="22"/>
        </w:rPr>
        <w:t>3</w:t>
      </w:r>
      <w:r w:rsidRPr="0027264E">
        <w:rPr>
          <w:noProof/>
          <w:color w:val="000000"/>
          <w:szCs w:val="22"/>
        </w:rPr>
        <w:t>.</w:t>
      </w:r>
      <w:r w:rsidRPr="0027264E">
        <w:rPr>
          <w:noProof/>
          <w:color w:val="000000"/>
          <w:szCs w:val="22"/>
        </w:rPr>
        <w:tab/>
        <w:t>Sonneveld MJ, Park JY, Kaewdech A, Seto WK, Tanaka Y, Carey I, et al. Prediction of Sustained Response After Nucleo(s)tide Analogue Cessation Using HBsAg and HBcrAg Levels: A Multicenter Study (CREATE). Clin Gastroenterol Hepatol. 2022;20(4):e784-e93.</w:t>
      </w:r>
    </w:p>
    <w:p w14:paraId="78DF41AF" w14:textId="77777777" w:rsidR="0027264E" w:rsidRPr="0027264E" w:rsidRDefault="0027264E" w:rsidP="0027264E">
      <w:pPr>
        <w:spacing w:line="480" w:lineRule="auto"/>
        <w:rPr>
          <w:noProof/>
          <w:color w:val="000000"/>
          <w:szCs w:val="22"/>
        </w:rPr>
      </w:pPr>
      <w:r w:rsidRPr="0027264E">
        <w:rPr>
          <w:noProof/>
          <w:color w:val="000000"/>
          <w:szCs w:val="22"/>
        </w:rPr>
        <w:t>2</w:t>
      </w:r>
      <w:r w:rsidRPr="0027264E">
        <w:rPr>
          <w:rFonts w:hint="eastAsia"/>
          <w:noProof/>
          <w:color w:val="000000"/>
          <w:szCs w:val="22"/>
        </w:rPr>
        <w:t>4</w:t>
      </w:r>
      <w:r w:rsidRPr="0027264E">
        <w:rPr>
          <w:noProof/>
          <w:color w:val="000000"/>
          <w:szCs w:val="22"/>
        </w:rPr>
        <w:t>.</w:t>
      </w:r>
      <w:r w:rsidRPr="0027264E">
        <w:rPr>
          <w:noProof/>
          <w:color w:val="000000"/>
          <w:szCs w:val="22"/>
        </w:rPr>
        <w:tab/>
        <w:t xml:space="preserve">Fan R, Peng J, Xie Q, Tan D, Xu M, Niu J, et al. Combining </w:t>
      </w:r>
      <w:r w:rsidRPr="0027264E">
        <w:rPr>
          <w:rFonts w:hint="eastAsia"/>
          <w:noProof/>
          <w:color w:val="000000"/>
          <w:szCs w:val="22"/>
        </w:rPr>
        <w:t>h</w:t>
      </w:r>
      <w:r w:rsidRPr="0027264E">
        <w:rPr>
          <w:noProof/>
          <w:color w:val="000000"/>
          <w:szCs w:val="22"/>
        </w:rPr>
        <w:t>epatitis B virus RNA and hepatitis B core-related antigen: Guidance for safely stopping nucleos(t)ide analogues in hepatitis B e antigen-positive patients with chronic hepatitis B. J Infect Dis. 2020;222(4):611-8.</w:t>
      </w:r>
    </w:p>
    <w:p w14:paraId="27E7CBFD" w14:textId="77777777" w:rsidR="0027264E" w:rsidRPr="0027264E" w:rsidRDefault="0027264E" w:rsidP="0027264E">
      <w:pPr>
        <w:spacing w:line="480" w:lineRule="auto"/>
        <w:rPr>
          <w:noProof/>
          <w:color w:val="000000"/>
          <w:szCs w:val="22"/>
        </w:rPr>
      </w:pPr>
      <w:r w:rsidRPr="0027264E">
        <w:rPr>
          <w:noProof/>
          <w:color w:val="000000"/>
          <w:szCs w:val="22"/>
        </w:rPr>
        <w:t>2</w:t>
      </w:r>
      <w:r w:rsidRPr="0027264E">
        <w:rPr>
          <w:rFonts w:hint="eastAsia"/>
          <w:noProof/>
          <w:color w:val="000000"/>
          <w:szCs w:val="22"/>
        </w:rPr>
        <w:t>5</w:t>
      </w:r>
      <w:r w:rsidRPr="0027264E">
        <w:rPr>
          <w:noProof/>
          <w:color w:val="000000"/>
          <w:szCs w:val="22"/>
        </w:rPr>
        <w:t>.</w:t>
      </w:r>
      <w:r w:rsidRPr="0027264E">
        <w:rPr>
          <w:noProof/>
          <w:color w:val="000000"/>
          <w:szCs w:val="22"/>
        </w:rPr>
        <w:tab/>
        <w:t>Kuo YH, Wang JH, Hung CH, Lu SN, Hu TH, Chen CH. Combining end-of-treatment HBsAg and baseline hepatitis B core-related antigen reduce HBV relapse rate after tenofovir cessation. Hepatol Int. 2021;15(2):301-9.</w:t>
      </w:r>
    </w:p>
    <w:p w14:paraId="028974AB" w14:textId="77777777" w:rsidR="0027264E" w:rsidRPr="0027264E" w:rsidRDefault="0027264E" w:rsidP="0027264E">
      <w:pPr>
        <w:spacing w:line="480" w:lineRule="auto"/>
        <w:rPr>
          <w:noProof/>
          <w:color w:val="000000"/>
          <w:szCs w:val="22"/>
        </w:rPr>
      </w:pPr>
      <w:r w:rsidRPr="0027264E">
        <w:rPr>
          <w:noProof/>
          <w:color w:val="000000"/>
          <w:szCs w:val="22"/>
        </w:rPr>
        <w:t>2</w:t>
      </w:r>
      <w:r w:rsidRPr="0027264E">
        <w:rPr>
          <w:rFonts w:hint="eastAsia"/>
          <w:noProof/>
          <w:color w:val="000000"/>
          <w:szCs w:val="22"/>
        </w:rPr>
        <w:t>6</w:t>
      </w:r>
      <w:r w:rsidRPr="0027264E">
        <w:rPr>
          <w:noProof/>
          <w:color w:val="000000"/>
          <w:szCs w:val="22"/>
        </w:rPr>
        <w:t>.</w:t>
      </w:r>
      <w:r w:rsidRPr="0027264E">
        <w:rPr>
          <w:noProof/>
          <w:color w:val="000000"/>
          <w:szCs w:val="22"/>
        </w:rPr>
        <w:tab/>
        <w:t>Chien NH, Huang YT, Wu CY, Chang CY, Wu MS, Kao JH, et al. Time-varying serum gradient of hepatitis B surface antigen predicts risk of relapses after off-NA therapy. BMC Gastroenterol. 2017;17(1):154.</w:t>
      </w:r>
    </w:p>
    <w:p w14:paraId="6E4D69BC" w14:textId="77777777" w:rsidR="0027264E" w:rsidRPr="0027264E" w:rsidRDefault="0027264E" w:rsidP="0027264E">
      <w:pPr>
        <w:spacing w:line="480" w:lineRule="auto"/>
        <w:rPr>
          <w:noProof/>
          <w:color w:val="000000"/>
          <w:szCs w:val="22"/>
        </w:rPr>
      </w:pPr>
      <w:r w:rsidRPr="0027264E">
        <w:rPr>
          <w:noProof/>
          <w:color w:val="000000"/>
          <w:szCs w:val="22"/>
        </w:rPr>
        <w:t>2</w:t>
      </w:r>
      <w:r w:rsidRPr="0027264E">
        <w:rPr>
          <w:rFonts w:hint="eastAsia"/>
          <w:noProof/>
          <w:color w:val="000000"/>
          <w:szCs w:val="22"/>
        </w:rPr>
        <w:t>7</w:t>
      </w:r>
      <w:r w:rsidRPr="0027264E">
        <w:rPr>
          <w:noProof/>
          <w:color w:val="000000"/>
          <w:szCs w:val="22"/>
        </w:rPr>
        <w:t>.</w:t>
      </w:r>
      <w:r w:rsidRPr="0027264E">
        <w:rPr>
          <w:noProof/>
          <w:color w:val="000000"/>
          <w:szCs w:val="22"/>
        </w:rPr>
        <w:tab/>
        <w:t xml:space="preserve">Kao JH, Jeng WJ, Ning Q, Su TH, Tseng TC, Ueno Y, et al. APASL guidance on stopping nucleos(t)ide analogues in chronic hepatitis B patients. Hepatol Int. </w:t>
      </w:r>
      <w:r w:rsidRPr="0027264E">
        <w:rPr>
          <w:noProof/>
          <w:color w:val="000000"/>
          <w:szCs w:val="22"/>
        </w:rPr>
        <w:lastRenderedPageBreak/>
        <w:t>2021;15(4):833-51.</w:t>
      </w:r>
    </w:p>
    <w:p w14:paraId="2ADE322F" w14:textId="77777777" w:rsidR="0027264E" w:rsidRPr="0027264E" w:rsidRDefault="0027264E" w:rsidP="0027264E">
      <w:pPr>
        <w:spacing w:line="480" w:lineRule="auto"/>
        <w:rPr>
          <w:noProof/>
          <w:color w:val="000000"/>
          <w:szCs w:val="22"/>
        </w:rPr>
      </w:pPr>
      <w:r w:rsidRPr="0027264E">
        <w:rPr>
          <w:noProof/>
          <w:color w:val="000000"/>
          <w:szCs w:val="22"/>
        </w:rPr>
        <w:t>2</w:t>
      </w:r>
      <w:r w:rsidRPr="0027264E">
        <w:rPr>
          <w:rFonts w:hint="eastAsia"/>
          <w:noProof/>
          <w:color w:val="000000"/>
          <w:szCs w:val="22"/>
        </w:rPr>
        <w:t>8</w:t>
      </w:r>
      <w:r w:rsidRPr="0027264E">
        <w:rPr>
          <w:noProof/>
          <w:color w:val="000000"/>
          <w:szCs w:val="22"/>
        </w:rPr>
        <w:t>.</w:t>
      </w:r>
      <w:r w:rsidRPr="0027264E">
        <w:rPr>
          <w:noProof/>
          <w:color w:val="000000"/>
          <w:szCs w:val="22"/>
        </w:rPr>
        <w:tab/>
        <w:t>Su TH, Yang HC, Tseng TC, Liou JM, Liu CH, Chen CL, et al. Distinct relapse rates and risk predictors after discontinuing tenofovir and entecavir therapy. J Infect Dis. 2018;217(8):1193-201.</w:t>
      </w:r>
    </w:p>
    <w:p w14:paraId="2937FA3C" w14:textId="77777777" w:rsidR="0027264E" w:rsidRPr="0027264E" w:rsidRDefault="0027264E" w:rsidP="0027264E">
      <w:pPr>
        <w:spacing w:line="480" w:lineRule="auto"/>
        <w:rPr>
          <w:noProof/>
          <w:color w:val="000000"/>
          <w:szCs w:val="22"/>
        </w:rPr>
      </w:pPr>
      <w:r w:rsidRPr="0027264E">
        <w:rPr>
          <w:noProof/>
          <w:color w:val="000000"/>
          <w:szCs w:val="22"/>
        </w:rPr>
        <w:t>2</w:t>
      </w:r>
      <w:r w:rsidRPr="0027264E">
        <w:rPr>
          <w:rFonts w:hint="eastAsia"/>
          <w:noProof/>
          <w:color w:val="000000"/>
          <w:szCs w:val="22"/>
        </w:rPr>
        <w:t>9</w:t>
      </w:r>
      <w:r w:rsidRPr="0027264E">
        <w:rPr>
          <w:noProof/>
          <w:color w:val="000000"/>
          <w:szCs w:val="22"/>
        </w:rPr>
        <w:t>.</w:t>
      </w:r>
      <w:r w:rsidRPr="0027264E">
        <w:rPr>
          <w:noProof/>
          <w:color w:val="000000"/>
          <w:szCs w:val="22"/>
        </w:rPr>
        <w:tab/>
        <w:t>Jaroenlapnopparat A, Chayanupatkul M, Tangkijvanich P. Novel viral markers and the prediction of off-treatment relapse in chronic hepatitis B patients: A systematic review. J Gastroenterol Hepatol. 2021;36(9):2349-62.</w:t>
      </w:r>
    </w:p>
    <w:p w14:paraId="24E3B915" w14:textId="63879C5F" w:rsidR="00B12632" w:rsidRDefault="0027264E" w:rsidP="0027264E">
      <w:pPr>
        <w:spacing w:line="480" w:lineRule="auto"/>
        <w:ind w:rightChars="-24" w:right="-58"/>
        <w:jc w:val="both"/>
        <w:rPr>
          <w:color w:val="000000"/>
          <w:szCs w:val="22"/>
        </w:rPr>
      </w:pPr>
      <w:r w:rsidRPr="0027264E">
        <w:rPr>
          <w:rFonts w:hint="eastAsia"/>
          <w:color w:val="000000"/>
          <w:szCs w:val="22"/>
        </w:rPr>
        <w:t>30</w:t>
      </w:r>
      <w:r w:rsidRPr="0027264E">
        <w:rPr>
          <w:color w:val="000000"/>
          <w:szCs w:val="22"/>
        </w:rPr>
        <w:t>.</w:t>
      </w:r>
      <w:r w:rsidRPr="0027264E">
        <w:rPr>
          <w:color w:val="000000"/>
          <w:szCs w:val="22"/>
        </w:rPr>
        <w:tab/>
        <w:t>Kao JH, Chen PJ, Lai MY, Chen DS. Hepatitis B genotypes correlate with clinical outcomes in patients with chronic hepatitis B. Gastroenterology. 2000;118(3):554-9.</w:t>
      </w:r>
    </w:p>
    <w:p w14:paraId="3FC367EE" w14:textId="77777777" w:rsidR="00676CCF" w:rsidRDefault="00676CCF" w:rsidP="0027264E">
      <w:pPr>
        <w:spacing w:line="480" w:lineRule="auto"/>
        <w:ind w:rightChars="-24" w:right="-58"/>
        <w:jc w:val="both"/>
        <w:rPr>
          <w:color w:val="000000"/>
          <w:szCs w:val="22"/>
        </w:rPr>
        <w:sectPr w:rsidR="00676CCF" w:rsidSect="007B5678">
          <w:pgSz w:w="11906" w:h="16838" w:code="9"/>
          <w:pgMar w:top="1440" w:right="1758" w:bottom="1440" w:left="1758" w:header="851" w:footer="992" w:gutter="0"/>
          <w:lnNumType w:countBy="1" w:restart="continuous"/>
          <w:cols w:space="425"/>
          <w:docGrid w:type="linesAndChars" w:linePitch="360"/>
        </w:sectPr>
      </w:pPr>
    </w:p>
    <w:p w14:paraId="59A6F443" w14:textId="46340224" w:rsidR="00676CCF" w:rsidRPr="00E35145" w:rsidRDefault="00676CCF" w:rsidP="00676CCF">
      <w:r w:rsidRPr="00676CCF">
        <w:rPr>
          <w:b/>
          <w:bCs/>
        </w:rPr>
        <w:lastRenderedPageBreak/>
        <w:t>Table 1</w:t>
      </w:r>
      <w:r>
        <w:t>.</w:t>
      </w:r>
      <w:r w:rsidRPr="00676CCF">
        <w:t xml:space="preserve"> </w:t>
      </w:r>
      <w:r w:rsidRPr="00E35145">
        <w:t>Baseline characteristics of the study patients</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489"/>
      </w:tblGrid>
      <w:tr w:rsidR="00676CCF" w:rsidRPr="00E35145" w14:paraId="7A583AB4" w14:textId="77777777" w:rsidTr="00095FC4">
        <w:tc>
          <w:tcPr>
            <w:tcW w:w="5807" w:type="dxa"/>
            <w:tcBorders>
              <w:top w:val="single" w:sz="12" w:space="0" w:color="auto"/>
              <w:bottom w:val="single" w:sz="4" w:space="0" w:color="auto"/>
            </w:tcBorders>
          </w:tcPr>
          <w:p w14:paraId="74F5870D" w14:textId="77777777" w:rsidR="00676CCF" w:rsidRPr="00E35145" w:rsidRDefault="00676CCF" w:rsidP="00095FC4">
            <w:pPr>
              <w:rPr>
                <w:rFonts w:ascii="Times New Roman" w:hAnsi="Times New Roman"/>
              </w:rPr>
            </w:pPr>
            <w:r w:rsidRPr="00E35145">
              <w:rPr>
                <w:rFonts w:ascii="Times New Roman" w:hAnsi="Times New Roman"/>
              </w:rPr>
              <w:t>Characteristics</w:t>
            </w:r>
            <w:r w:rsidRPr="00125477">
              <w:rPr>
                <w:rFonts w:ascii="Times New Roman" w:hAnsi="Times New Roman" w:hint="eastAsia"/>
                <w:vertAlign w:val="superscript"/>
              </w:rPr>
              <w:t>†</w:t>
            </w:r>
          </w:p>
        </w:tc>
        <w:tc>
          <w:tcPr>
            <w:tcW w:w="2489" w:type="dxa"/>
            <w:tcBorders>
              <w:top w:val="single" w:sz="12" w:space="0" w:color="auto"/>
              <w:bottom w:val="single" w:sz="4" w:space="0" w:color="auto"/>
            </w:tcBorders>
          </w:tcPr>
          <w:p w14:paraId="0A4B0054" w14:textId="77777777" w:rsidR="00676CCF" w:rsidRPr="00E35145" w:rsidRDefault="00676CCF" w:rsidP="00095FC4">
            <w:pPr>
              <w:rPr>
                <w:rFonts w:ascii="Times New Roman" w:hAnsi="Times New Roman"/>
              </w:rPr>
            </w:pPr>
            <w:r w:rsidRPr="00E35145">
              <w:rPr>
                <w:rFonts w:ascii="Times New Roman" w:hAnsi="Times New Roman"/>
              </w:rPr>
              <w:t>All patients (</w:t>
            </w:r>
            <w:r w:rsidRPr="00E35145">
              <w:rPr>
                <w:rFonts w:ascii="Times New Roman" w:hAnsi="Times New Roman"/>
                <w:i/>
                <w:iCs/>
              </w:rPr>
              <w:t>N</w:t>
            </w:r>
            <w:r w:rsidRPr="00E35145">
              <w:rPr>
                <w:rFonts w:ascii="Times New Roman" w:hAnsi="Times New Roman"/>
              </w:rPr>
              <w:t xml:space="preserve"> = 203)</w:t>
            </w:r>
          </w:p>
        </w:tc>
      </w:tr>
      <w:tr w:rsidR="00676CCF" w:rsidRPr="00E35145" w14:paraId="7744F3EF" w14:textId="77777777" w:rsidTr="00095FC4">
        <w:tc>
          <w:tcPr>
            <w:tcW w:w="5807" w:type="dxa"/>
          </w:tcPr>
          <w:p w14:paraId="25D10154" w14:textId="77777777" w:rsidR="00676CCF" w:rsidRPr="00E35145" w:rsidRDefault="00676CCF" w:rsidP="00095FC4">
            <w:pPr>
              <w:rPr>
                <w:rFonts w:ascii="Times New Roman" w:hAnsi="Times New Roman"/>
              </w:rPr>
            </w:pPr>
            <w:r w:rsidRPr="00E35145">
              <w:rPr>
                <w:rFonts w:ascii="Times New Roman" w:hAnsi="Times New Roman"/>
              </w:rPr>
              <w:t>Age, years</w:t>
            </w:r>
          </w:p>
        </w:tc>
        <w:tc>
          <w:tcPr>
            <w:tcW w:w="2489" w:type="dxa"/>
          </w:tcPr>
          <w:p w14:paraId="5E2CC9C2" w14:textId="77777777" w:rsidR="00676CCF" w:rsidRPr="00E35145" w:rsidRDefault="00676CCF" w:rsidP="00095FC4">
            <w:pPr>
              <w:rPr>
                <w:rFonts w:ascii="Times New Roman" w:hAnsi="Times New Roman"/>
              </w:rPr>
            </w:pPr>
            <w:r w:rsidRPr="00E35145">
              <w:rPr>
                <w:rFonts w:ascii="Times New Roman" w:hAnsi="Times New Roman"/>
              </w:rPr>
              <w:t>49</w:t>
            </w:r>
            <w:r>
              <w:rPr>
                <w:rFonts w:ascii="Times New Roman" w:hAnsi="Times New Roman"/>
              </w:rPr>
              <w:t>.8</w:t>
            </w:r>
            <w:r w:rsidRPr="00E35145">
              <w:rPr>
                <w:rFonts w:ascii="Times New Roman" w:hAnsi="Times New Roman"/>
              </w:rPr>
              <w:t xml:space="preserve"> (41</w:t>
            </w:r>
            <w:r>
              <w:rPr>
                <w:rFonts w:ascii="Times New Roman" w:hAnsi="Times New Roman"/>
              </w:rPr>
              <w:t>.9</w:t>
            </w:r>
            <w:r w:rsidRPr="00E35145">
              <w:rPr>
                <w:rFonts w:ascii="Times New Roman" w:hAnsi="Times New Roman"/>
              </w:rPr>
              <w:t>, 5</w:t>
            </w:r>
            <w:r>
              <w:rPr>
                <w:rFonts w:ascii="Times New Roman" w:hAnsi="Times New Roman"/>
              </w:rPr>
              <w:t>9.0</w:t>
            </w:r>
            <w:r w:rsidRPr="00E35145">
              <w:rPr>
                <w:rFonts w:ascii="Times New Roman" w:hAnsi="Times New Roman"/>
              </w:rPr>
              <w:t>)</w:t>
            </w:r>
          </w:p>
        </w:tc>
      </w:tr>
      <w:tr w:rsidR="00676CCF" w:rsidRPr="00E35145" w14:paraId="2C421127" w14:textId="77777777" w:rsidTr="00095FC4">
        <w:tc>
          <w:tcPr>
            <w:tcW w:w="5807" w:type="dxa"/>
          </w:tcPr>
          <w:p w14:paraId="2B4F1D93" w14:textId="77777777" w:rsidR="00676CCF" w:rsidRPr="00E35145" w:rsidRDefault="00676CCF" w:rsidP="00095FC4">
            <w:pPr>
              <w:rPr>
                <w:rFonts w:ascii="Times New Roman" w:hAnsi="Times New Roman"/>
              </w:rPr>
            </w:pPr>
            <w:r w:rsidRPr="00E35145">
              <w:rPr>
                <w:rFonts w:ascii="Times New Roman" w:hAnsi="Times New Roman"/>
              </w:rPr>
              <w:t>Male gender, n (%)</w:t>
            </w:r>
          </w:p>
        </w:tc>
        <w:tc>
          <w:tcPr>
            <w:tcW w:w="2489" w:type="dxa"/>
          </w:tcPr>
          <w:p w14:paraId="152E4CB9" w14:textId="77777777" w:rsidR="00676CCF" w:rsidRPr="00E35145" w:rsidRDefault="00676CCF" w:rsidP="00095FC4">
            <w:pPr>
              <w:rPr>
                <w:rFonts w:ascii="Times New Roman" w:hAnsi="Times New Roman"/>
              </w:rPr>
            </w:pPr>
            <w:r w:rsidRPr="00E35145">
              <w:rPr>
                <w:rFonts w:ascii="Times New Roman" w:hAnsi="Times New Roman"/>
              </w:rPr>
              <w:t>156 (76.8)</w:t>
            </w:r>
          </w:p>
        </w:tc>
      </w:tr>
      <w:tr w:rsidR="00676CCF" w:rsidRPr="00E35145" w14:paraId="1B2C8615" w14:textId="77777777" w:rsidTr="00095FC4">
        <w:tc>
          <w:tcPr>
            <w:tcW w:w="5807" w:type="dxa"/>
          </w:tcPr>
          <w:p w14:paraId="7D98C4A1" w14:textId="77777777" w:rsidR="00676CCF" w:rsidRPr="00E35145" w:rsidRDefault="00676CCF" w:rsidP="00095FC4">
            <w:pPr>
              <w:rPr>
                <w:rFonts w:ascii="Times New Roman" w:hAnsi="Times New Roman"/>
              </w:rPr>
            </w:pPr>
            <w:r w:rsidRPr="00E35145">
              <w:rPr>
                <w:rFonts w:ascii="Times New Roman" w:hAnsi="Times New Roman"/>
              </w:rPr>
              <w:t>Positive anti-</w:t>
            </w:r>
            <w:proofErr w:type="spellStart"/>
            <w:r w:rsidRPr="00E35145">
              <w:rPr>
                <w:rFonts w:ascii="Times New Roman" w:hAnsi="Times New Roman"/>
              </w:rPr>
              <w:t>HBe</w:t>
            </w:r>
            <w:proofErr w:type="spellEnd"/>
            <w:r w:rsidRPr="00E35145">
              <w:rPr>
                <w:rFonts w:ascii="Times New Roman" w:hAnsi="Times New Roman"/>
              </w:rPr>
              <w:t>, n (%)</w:t>
            </w:r>
          </w:p>
        </w:tc>
        <w:tc>
          <w:tcPr>
            <w:tcW w:w="2489" w:type="dxa"/>
          </w:tcPr>
          <w:p w14:paraId="68BC4EEB" w14:textId="77777777" w:rsidR="00676CCF" w:rsidRPr="00E35145" w:rsidRDefault="00676CCF" w:rsidP="00095FC4">
            <w:pPr>
              <w:rPr>
                <w:rFonts w:ascii="Times New Roman" w:hAnsi="Times New Roman"/>
              </w:rPr>
            </w:pPr>
            <w:r w:rsidRPr="00E35145">
              <w:rPr>
                <w:rFonts w:ascii="Times New Roman" w:hAnsi="Times New Roman"/>
              </w:rPr>
              <w:t>192 (94.6)</w:t>
            </w:r>
          </w:p>
        </w:tc>
      </w:tr>
      <w:tr w:rsidR="00676CCF" w:rsidRPr="00E35145" w14:paraId="77008331" w14:textId="77777777" w:rsidTr="00095FC4">
        <w:tc>
          <w:tcPr>
            <w:tcW w:w="5807" w:type="dxa"/>
          </w:tcPr>
          <w:p w14:paraId="16209F02" w14:textId="77777777" w:rsidR="00676CCF" w:rsidRPr="00E35145" w:rsidRDefault="00676CCF" w:rsidP="00095FC4">
            <w:pPr>
              <w:rPr>
                <w:rFonts w:ascii="Times New Roman" w:hAnsi="Times New Roman"/>
              </w:rPr>
            </w:pPr>
            <w:r w:rsidRPr="00E35145">
              <w:rPr>
                <w:rFonts w:ascii="Times New Roman" w:hAnsi="Times New Roman"/>
              </w:rPr>
              <w:t>HBsAg, log IU/mL</w:t>
            </w:r>
          </w:p>
        </w:tc>
        <w:tc>
          <w:tcPr>
            <w:tcW w:w="2489" w:type="dxa"/>
          </w:tcPr>
          <w:p w14:paraId="7C80DF39" w14:textId="77777777" w:rsidR="00676CCF" w:rsidRPr="00E35145" w:rsidRDefault="00676CCF" w:rsidP="00095FC4">
            <w:pPr>
              <w:rPr>
                <w:rFonts w:ascii="Times New Roman" w:hAnsi="Times New Roman"/>
              </w:rPr>
            </w:pPr>
            <w:r w:rsidRPr="00E35145">
              <w:rPr>
                <w:rFonts w:ascii="Times New Roman" w:hAnsi="Times New Roman"/>
              </w:rPr>
              <w:t>2.7 (2.0, 3.0)</w:t>
            </w:r>
          </w:p>
        </w:tc>
      </w:tr>
      <w:tr w:rsidR="00676CCF" w:rsidRPr="00E35145" w14:paraId="237B1C07" w14:textId="77777777" w:rsidTr="00095FC4">
        <w:tc>
          <w:tcPr>
            <w:tcW w:w="5807" w:type="dxa"/>
          </w:tcPr>
          <w:p w14:paraId="69B5E7CF" w14:textId="77777777" w:rsidR="00676CCF" w:rsidRPr="00E35145" w:rsidRDefault="00676CCF" w:rsidP="00095FC4">
            <w:pPr>
              <w:rPr>
                <w:rFonts w:ascii="Times New Roman" w:hAnsi="Times New Roman"/>
              </w:rPr>
            </w:pPr>
            <w:proofErr w:type="spellStart"/>
            <w:r w:rsidRPr="00E35145">
              <w:rPr>
                <w:rFonts w:ascii="Times New Roman" w:hAnsi="Times New Roman"/>
              </w:rPr>
              <w:t>HBcrAg</w:t>
            </w:r>
            <w:proofErr w:type="spellEnd"/>
            <w:r w:rsidRPr="00E35145">
              <w:rPr>
                <w:rFonts w:ascii="Times New Roman" w:hAnsi="Times New Roman"/>
              </w:rPr>
              <w:t>, log U/mL</w:t>
            </w:r>
          </w:p>
        </w:tc>
        <w:tc>
          <w:tcPr>
            <w:tcW w:w="2489" w:type="dxa"/>
          </w:tcPr>
          <w:p w14:paraId="028AD788" w14:textId="77777777" w:rsidR="00676CCF" w:rsidRPr="00E35145" w:rsidRDefault="00676CCF" w:rsidP="00095FC4">
            <w:pPr>
              <w:rPr>
                <w:rFonts w:ascii="Times New Roman" w:hAnsi="Times New Roman"/>
              </w:rPr>
            </w:pPr>
            <w:r w:rsidRPr="00E35145">
              <w:rPr>
                <w:rFonts w:ascii="Times New Roman" w:hAnsi="Times New Roman"/>
              </w:rPr>
              <w:t>3.0 (2.0, 3.9)</w:t>
            </w:r>
          </w:p>
        </w:tc>
      </w:tr>
      <w:tr w:rsidR="00676CCF" w:rsidRPr="00E35145" w14:paraId="6DB72D93" w14:textId="77777777" w:rsidTr="00095FC4">
        <w:tc>
          <w:tcPr>
            <w:tcW w:w="5807" w:type="dxa"/>
          </w:tcPr>
          <w:p w14:paraId="44EF050C" w14:textId="77777777" w:rsidR="00676CCF" w:rsidRPr="00E35145" w:rsidRDefault="00676CCF" w:rsidP="00095FC4">
            <w:pPr>
              <w:rPr>
                <w:rFonts w:ascii="Times New Roman" w:hAnsi="Times New Roman"/>
              </w:rPr>
            </w:pPr>
            <w:r w:rsidRPr="00E35145">
              <w:rPr>
                <w:rFonts w:ascii="Times New Roman" w:hAnsi="Times New Roman"/>
              </w:rPr>
              <w:t>AST, IU/L</w:t>
            </w:r>
          </w:p>
        </w:tc>
        <w:tc>
          <w:tcPr>
            <w:tcW w:w="2489" w:type="dxa"/>
          </w:tcPr>
          <w:p w14:paraId="20A1794C" w14:textId="77777777" w:rsidR="00676CCF" w:rsidRPr="00E35145" w:rsidRDefault="00676CCF" w:rsidP="00095FC4">
            <w:pPr>
              <w:rPr>
                <w:rFonts w:ascii="Times New Roman" w:hAnsi="Times New Roman"/>
              </w:rPr>
            </w:pPr>
            <w:r w:rsidRPr="00E35145">
              <w:rPr>
                <w:rFonts w:ascii="Times New Roman" w:hAnsi="Times New Roman"/>
              </w:rPr>
              <w:t xml:space="preserve">27 (23, 35) </w:t>
            </w:r>
          </w:p>
        </w:tc>
      </w:tr>
      <w:tr w:rsidR="00676CCF" w:rsidRPr="00E35145" w14:paraId="3C96928A" w14:textId="77777777" w:rsidTr="00095FC4">
        <w:tc>
          <w:tcPr>
            <w:tcW w:w="5807" w:type="dxa"/>
          </w:tcPr>
          <w:p w14:paraId="275C5FDB" w14:textId="77777777" w:rsidR="00676CCF" w:rsidRPr="00E35145" w:rsidRDefault="00676CCF" w:rsidP="00095FC4">
            <w:pPr>
              <w:rPr>
                <w:rFonts w:ascii="Times New Roman" w:hAnsi="Times New Roman"/>
              </w:rPr>
            </w:pPr>
            <w:r w:rsidRPr="00E35145">
              <w:rPr>
                <w:rFonts w:ascii="Times New Roman" w:hAnsi="Times New Roman"/>
              </w:rPr>
              <w:t>ALT, IU/L</w:t>
            </w:r>
          </w:p>
        </w:tc>
        <w:tc>
          <w:tcPr>
            <w:tcW w:w="2489" w:type="dxa"/>
          </w:tcPr>
          <w:p w14:paraId="1DD62D5A" w14:textId="77777777" w:rsidR="00676CCF" w:rsidRPr="00E35145" w:rsidRDefault="00676CCF" w:rsidP="00095FC4">
            <w:pPr>
              <w:rPr>
                <w:rFonts w:ascii="Times New Roman" w:hAnsi="Times New Roman"/>
              </w:rPr>
            </w:pPr>
            <w:r w:rsidRPr="00E35145">
              <w:rPr>
                <w:rFonts w:ascii="Times New Roman" w:hAnsi="Times New Roman"/>
              </w:rPr>
              <w:t xml:space="preserve">27 (19, 40) </w:t>
            </w:r>
          </w:p>
        </w:tc>
      </w:tr>
      <w:tr w:rsidR="00676CCF" w:rsidRPr="00E35145" w14:paraId="5BCF72F4" w14:textId="77777777" w:rsidTr="00095FC4">
        <w:tc>
          <w:tcPr>
            <w:tcW w:w="5807" w:type="dxa"/>
          </w:tcPr>
          <w:p w14:paraId="77807E7D" w14:textId="77777777" w:rsidR="00676CCF" w:rsidRPr="00E35145" w:rsidRDefault="00676CCF" w:rsidP="00095FC4">
            <w:pPr>
              <w:rPr>
                <w:rFonts w:ascii="Times New Roman" w:hAnsi="Times New Roman"/>
              </w:rPr>
            </w:pPr>
            <w:r w:rsidRPr="00E35145">
              <w:rPr>
                <w:rFonts w:ascii="Times New Roman" w:hAnsi="Times New Roman"/>
              </w:rPr>
              <w:t>Anti‐viral regimen</w:t>
            </w:r>
          </w:p>
        </w:tc>
        <w:tc>
          <w:tcPr>
            <w:tcW w:w="2489" w:type="dxa"/>
          </w:tcPr>
          <w:p w14:paraId="178170C2" w14:textId="77777777" w:rsidR="00676CCF" w:rsidRPr="00E35145" w:rsidRDefault="00676CCF" w:rsidP="00095FC4">
            <w:pPr>
              <w:rPr>
                <w:rFonts w:ascii="Times New Roman" w:hAnsi="Times New Roman"/>
              </w:rPr>
            </w:pPr>
          </w:p>
        </w:tc>
      </w:tr>
      <w:tr w:rsidR="00676CCF" w:rsidRPr="00E35145" w14:paraId="5990A141" w14:textId="77777777" w:rsidTr="00095FC4">
        <w:tc>
          <w:tcPr>
            <w:tcW w:w="5807" w:type="dxa"/>
          </w:tcPr>
          <w:p w14:paraId="4079E87C" w14:textId="77777777" w:rsidR="00676CCF" w:rsidRPr="00E35145" w:rsidRDefault="00676CCF" w:rsidP="00095FC4">
            <w:pPr>
              <w:rPr>
                <w:rFonts w:ascii="Times New Roman" w:hAnsi="Times New Roman"/>
              </w:rPr>
            </w:pPr>
            <w:r w:rsidRPr="00E35145">
              <w:rPr>
                <w:rFonts w:ascii="Times New Roman" w:hAnsi="Times New Roman"/>
              </w:rPr>
              <w:t xml:space="preserve"> Entecavir, n (%)</w:t>
            </w:r>
          </w:p>
        </w:tc>
        <w:tc>
          <w:tcPr>
            <w:tcW w:w="2489" w:type="dxa"/>
          </w:tcPr>
          <w:p w14:paraId="1FD8C1D4" w14:textId="77777777" w:rsidR="00676CCF" w:rsidRPr="00E35145" w:rsidRDefault="00676CCF" w:rsidP="00095FC4">
            <w:pPr>
              <w:rPr>
                <w:rFonts w:ascii="Times New Roman" w:hAnsi="Times New Roman"/>
              </w:rPr>
            </w:pPr>
            <w:r w:rsidRPr="00E35145">
              <w:rPr>
                <w:rFonts w:ascii="Times New Roman" w:hAnsi="Times New Roman"/>
              </w:rPr>
              <w:t>123 (60.6)</w:t>
            </w:r>
          </w:p>
        </w:tc>
      </w:tr>
      <w:tr w:rsidR="00676CCF" w:rsidRPr="00E35145" w14:paraId="2F71C6E6" w14:textId="77777777" w:rsidTr="00095FC4">
        <w:tc>
          <w:tcPr>
            <w:tcW w:w="5807" w:type="dxa"/>
          </w:tcPr>
          <w:p w14:paraId="1C872025" w14:textId="77777777" w:rsidR="00676CCF" w:rsidRPr="00E35145" w:rsidRDefault="00676CCF" w:rsidP="00095FC4">
            <w:pPr>
              <w:rPr>
                <w:rFonts w:ascii="Times New Roman" w:hAnsi="Times New Roman"/>
              </w:rPr>
            </w:pPr>
            <w:r w:rsidRPr="00E35145">
              <w:rPr>
                <w:rFonts w:ascii="Times New Roman" w:hAnsi="Times New Roman"/>
              </w:rPr>
              <w:t xml:space="preserve"> Tenofovir, n (%)</w:t>
            </w:r>
          </w:p>
        </w:tc>
        <w:tc>
          <w:tcPr>
            <w:tcW w:w="2489" w:type="dxa"/>
          </w:tcPr>
          <w:p w14:paraId="06E8E3A4" w14:textId="77777777" w:rsidR="00676CCF" w:rsidRPr="00E35145" w:rsidRDefault="00676CCF" w:rsidP="00095FC4">
            <w:pPr>
              <w:rPr>
                <w:rFonts w:ascii="Times New Roman" w:hAnsi="Times New Roman"/>
              </w:rPr>
            </w:pPr>
            <w:r w:rsidRPr="00E35145">
              <w:rPr>
                <w:rFonts w:ascii="Times New Roman" w:hAnsi="Times New Roman"/>
              </w:rPr>
              <w:t>80 (39.4)</w:t>
            </w:r>
          </w:p>
        </w:tc>
      </w:tr>
      <w:tr w:rsidR="00676CCF" w:rsidRPr="00E35145" w14:paraId="7297D9CC" w14:textId="77777777" w:rsidTr="00095FC4">
        <w:tc>
          <w:tcPr>
            <w:tcW w:w="5807" w:type="dxa"/>
          </w:tcPr>
          <w:p w14:paraId="3AE8217F" w14:textId="77777777" w:rsidR="00676CCF" w:rsidRPr="00E35145" w:rsidRDefault="00676CCF" w:rsidP="00095FC4">
            <w:pPr>
              <w:rPr>
                <w:rFonts w:ascii="Times New Roman" w:hAnsi="Times New Roman"/>
              </w:rPr>
            </w:pPr>
            <w:r w:rsidRPr="00E35145">
              <w:rPr>
                <w:rFonts w:ascii="Times New Roman" w:hAnsi="Times New Roman"/>
              </w:rPr>
              <w:t>Duration on therapy, months</w:t>
            </w:r>
          </w:p>
        </w:tc>
        <w:tc>
          <w:tcPr>
            <w:tcW w:w="2489" w:type="dxa"/>
          </w:tcPr>
          <w:p w14:paraId="7659EAF6" w14:textId="77777777" w:rsidR="00676CCF" w:rsidRPr="00E35145" w:rsidRDefault="00676CCF" w:rsidP="00095FC4">
            <w:pPr>
              <w:rPr>
                <w:rFonts w:ascii="Times New Roman" w:hAnsi="Times New Roman"/>
              </w:rPr>
            </w:pPr>
            <w:r w:rsidRPr="00E35145">
              <w:rPr>
                <w:rFonts w:ascii="Times New Roman" w:hAnsi="Times New Roman"/>
              </w:rPr>
              <w:t>36</w:t>
            </w:r>
            <w:r>
              <w:rPr>
                <w:rFonts w:ascii="Times New Roman" w:hAnsi="Times New Roman"/>
              </w:rPr>
              <w:t>.9</w:t>
            </w:r>
            <w:r w:rsidRPr="00E35145">
              <w:rPr>
                <w:rFonts w:ascii="Times New Roman" w:hAnsi="Times New Roman"/>
              </w:rPr>
              <w:t xml:space="preserve"> (36</w:t>
            </w:r>
            <w:r>
              <w:rPr>
                <w:rFonts w:ascii="Times New Roman" w:hAnsi="Times New Roman"/>
              </w:rPr>
              <w:t>.5</w:t>
            </w:r>
            <w:r w:rsidRPr="00E35145">
              <w:rPr>
                <w:rFonts w:ascii="Times New Roman" w:hAnsi="Times New Roman"/>
              </w:rPr>
              <w:t xml:space="preserve">, </w:t>
            </w:r>
            <w:r>
              <w:rPr>
                <w:rFonts w:ascii="Times New Roman" w:hAnsi="Times New Roman"/>
              </w:rPr>
              <w:t>40.1</w:t>
            </w:r>
            <w:r w:rsidRPr="00E35145">
              <w:rPr>
                <w:rFonts w:ascii="Times New Roman" w:hAnsi="Times New Roman"/>
              </w:rPr>
              <w:t>)</w:t>
            </w:r>
          </w:p>
        </w:tc>
      </w:tr>
      <w:tr w:rsidR="00676CCF" w:rsidRPr="00E35145" w14:paraId="35C03D7E" w14:textId="77777777" w:rsidTr="00095FC4">
        <w:tc>
          <w:tcPr>
            <w:tcW w:w="5807" w:type="dxa"/>
          </w:tcPr>
          <w:p w14:paraId="468B5FD2" w14:textId="77777777" w:rsidR="00676CCF" w:rsidRPr="004C4F2E" w:rsidRDefault="00676CCF" w:rsidP="00095FC4">
            <w:pPr>
              <w:rPr>
                <w:rFonts w:ascii="Times New Roman" w:hAnsi="Times New Roman"/>
              </w:rPr>
            </w:pPr>
            <w:r w:rsidRPr="004C4F2E">
              <w:rPr>
                <w:rFonts w:ascii="Times New Roman" w:hAnsi="Times New Roman"/>
              </w:rPr>
              <w:t>Duration of follow‐up, months</w:t>
            </w:r>
          </w:p>
        </w:tc>
        <w:tc>
          <w:tcPr>
            <w:tcW w:w="2489" w:type="dxa"/>
          </w:tcPr>
          <w:p w14:paraId="6BE7C6BD" w14:textId="77777777" w:rsidR="00676CCF" w:rsidRPr="004C4F2E" w:rsidRDefault="00676CCF" w:rsidP="00095FC4">
            <w:pPr>
              <w:rPr>
                <w:rFonts w:ascii="Times New Roman" w:hAnsi="Times New Roman"/>
              </w:rPr>
            </w:pPr>
            <w:r w:rsidRPr="004C4F2E">
              <w:rPr>
                <w:rFonts w:ascii="Times New Roman" w:hAnsi="Times New Roman"/>
              </w:rPr>
              <w:t>31</w:t>
            </w:r>
            <w:r>
              <w:rPr>
                <w:rFonts w:ascii="Times New Roman" w:hAnsi="Times New Roman"/>
              </w:rPr>
              <w:t>.7</w:t>
            </w:r>
            <w:r w:rsidRPr="004C4F2E">
              <w:rPr>
                <w:rFonts w:ascii="Times New Roman" w:hAnsi="Times New Roman" w:hint="eastAsia"/>
              </w:rPr>
              <w:t xml:space="preserve"> (</w:t>
            </w:r>
            <w:r w:rsidRPr="004C4F2E">
              <w:rPr>
                <w:rFonts w:ascii="Times New Roman" w:hAnsi="Times New Roman"/>
              </w:rPr>
              <w:t>16</w:t>
            </w:r>
            <w:r>
              <w:rPr>
                <w:rFonts w:ascii="Times New Roman" w:hAnsi="Times New Roman"/>
              </w:rPr>
              <w:t>.7</w:t>
            </w:r>
            <w:r w:rsidRPr="004C4F2E">
              <w:rPr>
                <w:rFonts w:ascii="Times New Roman" w:hAnsi="Times New Roman" w:hint="eastAsia"/>
              </w:rPr>
              <w:t>,</w:t>
            </w:r>
            <w:r w:rsidRPr="004C4F2E">
              <w:rPr>
                <w:rFonts w:ascii="Times New Roman" w:hAnsi="Times New Roman"/>
              </w:rPr>
              <w:t xml:space="preserve"> 6</w:t>
            </w:r>
            <w:r>
              <w:rPr>
                <w:rFonts w:ascii="Times New Roman" w:hAnsi="Times New Roman"/>
              </w:rPr>
              <w:t>7.1</w:t>
            </w:r>
            <w:r w:rsidRPr="004C4F2E">
              <w:rPr>
                <w:rFonts w:ascii="Times New Roman" w:hAnsi="Times New Roman" w:hint="eastAsia"/>
              </w:rPr>
              <w:t>)</w:t>
            </w:r>
          </w:p>
        </w:tc>
      </w:tr>
      <w:tr w:rsidR="00676CCF" w:rsidRPr="00E35145" w14:paraId="2FE4E293" w14:textId="77777777" w:rsidTr="00095FC4">
        <w:tc>
          <w:tcPr>
            <w:tcW w:w="5807" w:type="dxa"/>
          </w:tcPr>
          <w:p w14:paraId="2B03D5EE" w14:textId="77777777" w:rsidR="00676CCF" w:rsidRPr="00E35145" w:rsidRDefault="00676CCF" w:rsidP="00095FC4">
            <w:pPr>
              <w:rPr>
                <w:rFonts w:ascii="Times New Roman" w:hAnsi="Times New Roman"/>
              </w:rPr>
            </w:pPr>
            <w:r w:rsidRPr="00E35145">
              <w:rPr>
                <w:rFonts w:ascii="Times New Roman" w:hAnsi="Times New Roman"/>
              </w:rPr>
              <w:t>Pre‐treatment positive HBeAg, n (%)</w:t>
            </w:r>
          </w:p>
        </w:tc>
        <w:tc>
          <w:tcPr>
            <w:tcW w:w="2489" w:type="dxa"/>
          </w:tcPr>
          <w:p w14:paraId="4D32C60E" w14:textId="77777777" w:rsidR="00676CCF" w:rsidRPr="00E35145" w:rsidRDefault="00676CCF" w:rsidP="00095FC4">
            <w:pPr>
              <w:rPr>
                <w:rFonts w:ascii="Times New Roman" w:hAnsi="Times New Roman"/>
              </w:rPr>
            </w:pPr>
            <w:r w:rsidRPr="00E35145">
              <w:rPr>
                <w:rFonts w:ascii="Times New Roman" w:hAnsi="Times New Roman"/>
              </w:rPr>
              <w:t>32 (15.8)</w:t>
            </w:r>
          </w:p>
        </w:tc>
      </w:tr>
      <w:tr w:rsidR="00676CCF" w:rsidRPr="00E35145" w14:paraId="5D44ACC3" w14:textId="77777777" w:rsidTr="00095FC4">
        <w:tc>
          <w:tcPr>
            <w:tcW w:w="5807" w:type="dxa"/>
          </w:tcPr>
          <w:p w14:paraId="7AD4F2EC" w14:textId="77777777" w:rsidR="00676CCF" w:rsidRPr="00E35145" w:rsidRDefault="00676CCF" w:rsidP="00095FC4">
            <w:pPr>
              <w:rPr>
                <w:rFonts w:ascii="Times New Roman" w:hAnsi="Times New Roman"/>
              </w:rPr>
            </w:pPr>
            <w:r w:rsidRPr="00E35145">
              <w:rPr>
                <w:rFonts w:ascii="Times New Roman" w:hAnsi="Times New Roman"/>
              </w:rPr>
              <w:t>Pre‐treatment positive anti‐</w:t>
            </w:r>
            <w:proofErr w:type="spellStart"/>
            <w:r w:rsidRPr="00E35145">
              <w:rPr>
                <w:rFonts w:ascii="Times New Roman" w:hAnsi="Times New Roman"/>
              </w:rPr>
              <w:t>HBe</w:t>
            </w:r>
            <w:proofErr w:type="spellEnd"/>
            <w:r w:rsidRPr="00E35145">
              <w:rPr>
                <w:rFonts w:ascii="Times New Roman" w:hAnsi="Times New Roman"/>
              </w:rPr>
              <w:t>, n (%)</w:t>
            </w:r>
          </w:p>
        </w:tc>
        <w:tc>
          <w:tcPr>
            <w:tcW w:w="2489" w:type="dxa"/>
          </w:tcPr>
          <w:p w14:paraId="5678398D" w14:textId="77777777" w:rsidR="00676CCF" w:rsidRPr="00E35145" w:rsidRDefault="00676CCF" w:rsidP="00095FC4">
            <w:pPr>
              <w:rPr>
                <w:rFonts w:ascii="Times New Roman" w:hAnsi="Times New Roman"/>
              </w:rPr>
            </w:pPr>
            <w:r w:rsidRPr="00E35145">
              <w:rPr>
                <w:rFonts w:ascii="Times New Roman" w:hAnsi="Times New Roman"/>
              </w:rPr>
              <w:t>168 (82.8)</w:t>
            </w:r>
          </w:p>
        </w:tc>
      </w:tr>
      <w:tr w:rsidR="00676CCF" w:rsidRPr="00E35145" w14:paraId="1E2362FE" w14:textId="77777777" w:rsidTr="00095FC4">
        <w:tc>
          <w:tcPr>
            <w:tcW w:w="5807" w:type="dxa"/>
          </w:tcPr>
          <w:p w14:paraId="2EA4AD2D" w14:textId="77777777" w:rsidR="00676CCF" w:rsidRPr="00E35145" w:rsidRDefault="00676CCF" w:rsidP="00095FC4">
            <w:pPr>
              <w:rPr>
                <w:rFonts w:ascii="Times New Roman" w:hAnsi="Times New Roman"/>
              </w:rPr>
            </w:pPr>
            <w:r w:rsidRPr="00E35145">
              <w:rPr>
                <w:rFonts w:ascii="Times New Roman" w:hAnsi="Times New Roman"/>
              </w:rPr>
              <w:t>Pre‐treatment AST, U/L</w:t>
            </w:r>
          </w:p>
        </w:tc>
        <w:tc>
          <w:tcPr>
            <w:tcW w:w="2489" w:type="dxa"/>
          </w:tcPr>
          <w:p w14:paraId="7E94663E" w14:textId="77777777" w:rsidR="00676CCF" w:rsidRPr="00E35145" w:rsidRDefault="00676CCF" w:rsidP="00095FC4">
            <w:pPr>
              <w:rPr>
                <w:rFonts w:ascii="Times New Roman" w:hAnsi="Times New Roman"/>
              </w:rPr>
            </w:pPr>
            <w:r w:rsidRPr="00E35145">
              <w:rPr>
                <w:rFonts w:ascii="Times New Roman" w:hAnsi="Times New Roman"/>
              </w:rPr>
              <w:t>68</w:t>
            </w:r>
            <w:r>
              <w:rPr>
                <w:rFonts w:ascii="Times New Roman" w:hAnsi="Times New Roman" w:hint="eastAsia"/>
              </w:rPr>
              <w:t xml:space="preserve"> </w:t>
            </w:r>
            <w:r w:rsidRPr="00E35145">
              <w:rPr>
                <w:rFonts w:ascii="Times New Roman" w:hAnsi="Times New Roman"/>
              </w:rPr>
              <w:t xml:space="preserve">(40, 123) </w:t>
            </w:r>
          </w:p>
        </w:tc>
      </w:tr>
      <w:tr w:rsidR="00676CCF" w:rsidRPr="00E35145" w14:paraId="27543304" w14:textId="77777777" w:rsidTr="00095FC4">
        <w:tc>
          <w:tcPr>
            <w:tcW w:w="5807" w:type="dxa"/>
            <w:tcBorders>
              <w:bottom w:val="single" w:sz="12" w:space="0" w:color="auto"/>
            </w:tcBorders>
          </w:tcPr>
          <w:p w14:paraId="4E997786" w14:textId="77777777" w:rsidR="00676CCF" w:rsidRPr="00E35145" w:rsidRDefault="00676CCF" w:rsidP="00095FC4">
            <w:pPr>
              <w:rPr>
                <w:rFonts w:ascii="Times New Roman" w:hAnsi="Times New Roman"/>
              </w:rPr>
            </w:pPr>
            <w:r w:rsidRPr="00E35145">
              <w:rPr>
                <w:rFonts w:ascii="Times New Roman" w:hAnsi="Times New Roman"/>
              </w:rPr>
              <w:t>Pre‐treatment ALT, U/L</w:t>
            </w:r>
          </w:p>
        </w:tc>
        <w:tc>
          <w:tcPr>
            <w:tcW w:w="2489" w:type="dxa"/>
            <w:tcBorders>
              <w:bottom w:val="single" w:sz="12" w:space="0" w:color="auto"/>
            </w:tcBorders>
          </w:tcPr>
          <w:p w14:paraId="708B33EE" w14:textId="77777777" w:rsidR="00676CCF" w:rsidRPr="00E35145" w:rsidRDefault="00676CCF" w:rsidP="00095FC4">
            <w:pPr>
              <w:rPr>
                <w:rFonts w:ascii="Times New Roman" w:hAnsi="Times New Roman"/>
              </w:rPr>
            </w:pPr>
            <w:r w:rsidRPr="00E35145">
              <w:rPr>
                <w:rFonts w:ascii="Times New Roman" w:hAnsi="Times New Roman"/>
              </w:rPr>
              <w:t>103</w:t>
            </w:r>
            <w:r>
              <w:rPr>
                <w:rFonts w:ascii="Times New Roman" w:hAnsi="Times New Roman" w:hint="eastAsia"/>
              </w:rPr>
              <w:t xml:space="preserve"> </w:t>
            </w:r>
            <w:r w:rsidRPr="00E35145">
              <w:rPr>
                <w:rFonts w:ascii="Times New Roman" w:hAnsi="Times New Roman"/>
              </w:rPr>
              <w:t>(5</w:t>
            </w:r>
            <w:r>
              <w:rPr>
                <w:rFonts w:ascii="Times New Roman" w:hAnsi="Times New Roman" w:hint="eastAsia"/>
              </w:rPr>
              <w:t>4</w:t>
            </w:r>
            <w:r w:rsidRPr="00E35145">
              <w:rPr>
                <w:rFonts w:ascii="Times New Roman" w:hAnsi="Times New Roman"/>
              </w:rPr>
              <w:t>, 212)</w:t>
            </w:r>
          </w:p>
        </w:tc>
      </w:tr>
    </w:tbl>
    <w:p w14:paraId="6435D62D" w14:textId="77777777" w:rsidR="00676CCF" w:rsidRPr="00367A80" w:rsidRDefault="00676CCF" w:rsidP="00676CCF">
      <w:r w:rsidRPr="00367A80">
        <w:t>ALT, alanine transaminase; anti‐</w:t>
      </w:r>
      <w:proofErr w:type="spellStart"/>
      <w:r w:rsidRPr="00367A80">
        <w:t>HBe</w:t>
      </w:r>
      <w:proofErr w:type="spellEnd"/>
      <w:r w:rsidRPr="00367A80">
        <w:t xml:space="preserve">, hepatitis B e antibody; AST, aspartate transaminase; </w:t>
      </w:r>
      <w:proofErr w:type="spellStart"/>
      <w:r w:rsidRPr="00367A80">
        <w:t>HBcrAg</w:t>
      </w:r>
      <w:proofErr w:type="spellEnd"/>
      <w:r w:rsidRPr="00367A80">
        <w:t>, hepatitis</w:t>
      </w:r>
      <w:r>
        <w:rPr>
          <w:rFonts w:hint="eastAsia"/>
        </w:rPr>
        <w:t xml:space="preserve"> </w:t>
      </w:r>
      <w:r w:rsidRPr="00367A80">
        <w:t>B core‐related antigen; HBeAg, hepatitis B e antigen; HBsAg, hepatitis</w:t>
      </w:r>
      <w:r>
        <w:rPr>
          <w:rFonts w:hint="eastAsia"/>
        </w:rPr>
        <w:t xml:space="preserve"> </w:t>
      </w:r>
      <w:r w:rsidRPr="00367A80">
        <w:t>B surface antigen</w:t>
      </w:r>
      <w:r>
        <w:t>.</w:t>
      </w:r>
    </w:p>
    <w:p w14:paraId="00665F42" w14:textId="77777777" w:rsidR="00676CCF" w:rsidRPr="00367A80" w:rsidRDefault="00676CCF" w:rsidP="00676CCF">
      <w:r w:rsidRPr="00125477">
        <w:rPr>
          <w:rFonts w:hint="eastAsia"/>
          <w:vertAlign w:val="superscript"/>
        </w:rPr>
        <w:t>†</w:t>
      </w:r>
      <w:r w:rsidRPr="00367A80">
        <w:t>Status at the cessation of anti‐viral therapy unless otherwise specified;</w:t>
      </w:r>
    </w:p>
    <w:p w14:paraId="72611175" w14:textId="77777777" w:rsidR="00676CCF" w:rsidRPr="00367A80" w:rsidRDefault="00676CCF" w:rsidP="00676CCF">
      <w:r w:rsidRPr="00367A80">
        <w:t>values expressed as percentage or median [IQR].</w:t>
      </w:r>
    </w:p>
    <w:p w14:paraId="6E79FD80" w14:textId="77777777" w:rsidR="00676CCF" w:rsidRDefault="00676CCF" w:rsidP="0027264E">
      <w:pPr>
        <w:spacing w:line="480" w:lineRule="auto"/>
        <w:ind w:rightChars="-24" w:right="-58"/>
        <w:jc w:val="both"/>
        <w:rPr>
          <w:color w:val="000000"/>
          <w:szCs w:val="22"/>
        </w:rPr>
        <w:sectPr w:rsidR="00676CCF" w:rsidSect="007B5678">
          <w:pgSz w:w="11906" w:h="16838" w:code="9"/>
          <w:pgMar w:top="1440" w:right="1758" w:bottom="1440" w:left="1758" w:header="851" w:footer="992" w:gutter="0"/>
          <w:lnNumType w:countBy="1" w:restart="continuous"/>
          <w:cols w:space="425"/>
          <w:docGrid w:type="linesAndChars" w:linePitch="360"/>
        </w:sectPr>
      </w:pPr>
    </w:p>
    <w:p w14:paraId="42869EB0" w14:textId="55A54E15" w:rsidR="00614805" w:rsidRPr="00614805" w:rsidRDefault="00614805" w:rsidP="00614805">
      <w:pPr>
        <w:rPr>
          <w:szCs w:val="22"/>
        </w:rPr>
      </w:pPr>
      <w:r w:rsidRPr="00614805">
        <w:rPr>
          <w:b/>
          <w:bCs/>
          <w:szCs w:val="22"/>
        </w:rPr>
        <w:lastRenderedPageBreak/>
        <w:t>T</w:t>
      </w:r>
      <w:r w:rsidRPr="00614805">
        <w:rPr>
          <w:b/>
          <w:bCs/>
          <w:szCs w:val="22"/>
        </w:rPr>
        <w:t>able 2</w:t>
      </w:r>
      <w:r w:rsidRPr="00614805">
        <w:rPr>
          <w:b/>
          <w:bCs/>
          <w:szCs w:val="22"/>
        </w:rPr>
        <w:t>.</w:t>
      </w:r>
      <w:r w:rsidRPr="00614805">
        <w:rPr>
          <w:b/>
          <w:bCs/>
          <w:szCs w:val="22"/>
        </w:rPr>
        <w:t xml:space="preserve"> </w:t>
      </w:r>
      <w:r w:rsidRPr="00614805">
        <w:rPr>
          <w:szCs w:val="22"/>
        </w:rPr>
        <w:t>Multivariable Cox proportional hazard model for the risk of clinical relapse</w:t>
      </w:r>
    </w:p>
    <w:tbl>
      <w:tblPr>
        <w:tblStyle w:val="11"/>
        <w:tblW w:w="14029" w:type="dxa"/>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090"/>
        <w:gridCol w:w="2091"/>
        <w:gridCol w:w="2091"/>
        <w:gridCol w:w="2091"/>
        <w:gridCol w:w="993"/>
      </w:tblGrid>
      <w:tr w:rsidR="00614805" w:rsidRPr="00614805" w14:paraId="7156FE80" w14:textId="77777777" w:rsidTr="00095FC4">
        <w:tc>
          <w:tcPr>
            <w:tcW w:w="4673" w:type="dxa"/>
          </w:tcPr>
          <w:p w14:paraId="4182A7D5" w14:textId="77777777" w:rsidR="00614805" w:rsidRPr="00614805" w:rsidRDefault="00614805" w:rsidP="00614805">
            <w:pPr>
              <w:rPr>
                <w:rFonts w:ascii="Times New Roman" w:eastAsia="新細明體" w:hAnsi="Times New Roman"/>
              </w:rPr>
            </w:pPr>
            <w:bookmarkStart w:id="22" w:name="_Hlk102945610"/>
            <w:bookmarkStart w:id="23" w:name="_Hlk102945518"/>
            <w:bookmarkStart w:id="24" w:name="_Hlk102945421"/>
          </w:p>
        </w:tc>
        <w:tc>
          <w:tcPr>
            <w:tcW w:w="4181" w:type="dxa"/>
            <w:gridSpan w:val="2"/>
            <w:tcBorders>
              <w:top w:val="single" w:sz="12" w:space="0" w:color="auto"/>
              <w:bottom w:val="single" w:sz="4" w:space="0" w:color="auto"/>
            </w:tcBorders>
          </w:tcPr>
          <w:p w14:paraId="4C6D7490"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Univariable analysis</w:t>
            </w:r>
          </w:p>
        </w:tc>
        <w:tc>
          <w:tcPr>
            <w:tcW w:w="5175" w:type="dxa"/>
            <w:gridSpan w:val="3"/>
            <w:tcBorders>
              <w:top w:val="single" w:sz="12" w:space="0" w:color="auto"/>
              <w:bottom w:val="single" w:sz="4" w:space="0" w:color="auto"/>
            </w:tcBorders>
          </w:tcPr>
          <w:p w14:paraId="1E1D9E84"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Multivariable analysis</w:t>
            </w:r>
          </w:p>
        </w:tc>
      </w:tr>
      <w:tr w:rsidR="00614805" w:rsidRPr="00614805" w14:paraId="25C8D9D1" w14:textId="77777777" w:rsidTr="00095FC4">
        <w:tc>
          <w:tcPr>
            <w:tcW w:w="4673" w:type="dxa"/>
            <w:tcBorders>
              <w:bottom w:val="single" w:sz="4" w:space="0" w:color="auto"/>
            </w:tcBorders>
          </w:tcPr>
          <w:p w14:paraId="316E5875" w14:textId="77777777" w:rsidR="00614805" w:rsidRPr="00614805" w:rsidRDefault="00614805" w:rsidP="00614805">
            <w:pPr>
              <w:rPr>
                <w:rFonts w:ascii="Times New Roman" w:eastAsia="新細明體" w:hAnsi="Times New Roman"/>
              </w:rPr>
            </w:pPr>
            <w:bookmarkStart w:id="25" w:name="_Hlk102945488"/>
            <w:r w:rsidRPr="00614805">
              <w:rPr>
                <w:rFonts w:ascii="Times New Roman" w:eastAsia="新細明體" w:hAnsi="Times New Roman"/>
              </w:rPr>
              <w:t>Variables</w:t>
            </w:r>
          </w:p>
        </w:tc>
        <w:tc>
          <w:tcPr>
            <w:tcW w:w="2090" w:type="dxa"/>
            <w:tcBorders>
              <w:top w:val="single" w:sz="4" w:space="0" w:color="auto"/>
              <w:bottom w:val="single" w:sz="4" w:space="0" w:color="auto"/>
            </w:tcBorders>
          </w:tcPr>
          <w:p w14:paraId="71443FF7"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HR</w:t>
            </w:r>
          </w:p>
        </w:tc>
        <w:tc>
          <w:tcPr>
            <w:tcW w:w="2091" w:type="dxa"/>
            <w:tcBorders>
              <w:top w:val="single" w:sz="4" w:space="0" w:color="auto"/>
              <w:bottom w:val="single" w:sz="4" w:space="0" w:color="auto"/>
            </w:tcBorders>
          </w:tcPr>
          <w:p w14:paraId="6256E129"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95% CI</w:t>
            </w:r>
          </w:p>
        </w:tc>
        <w:tc>
          <w:tcPr>
            <w:tcW w:w="2091" w:type="dxa"/>
            <w:tcBorders>
              <w:top w:val="single" w:sz="4" w:space="0" w:color="auto"/>
              <w:bottom w:val="single" w:sz="4" w:space="0" w:color="auto"/>
            </w:tcBorders>
          </w:tcPr>
          <w:p w14:paraId="3A08DA9B"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Adjusted HR</w:t>
            </w:r>
          </w:p>
        </w:tc>
        <w:tc>
          <w:tcPr>
            <w:tcW w:w="2091" w:type="dxa"/>
            <w:tcBorders>
              <w:top w:val="single" w:sz="4" w:space="0" w:color="auto"/>
              <w:bottom w:val="single" w:sz="4" w:space="0" w:color="auto"/>
            </w:tcBorders>
          </w:tcPr>
          <w:p w14:paraId="00B737B1"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95% CI</w:t>
            </w:r>
          </w:p>
        </w:tc>
        <w:tc>
          <w:tcPr>
            <w:tcW w:w="993" w:type="dxa"/>
            <w:tcBorders>
              <w:top w:val="single" w:sz="4" w:space="0" w:color="auto"/>
              <w:bottom w:val="single" w:sz="4" w:space="0" w:color="auto"/>
            </w:tcBorders>
          </w:tcPr>
          <w:p w14:paraId="0FE02A71"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i/>
                <w:iCs/>
              </w:rPr>
              <w:t>P</w:t>
            </w:r>
            <w:r w:rsidRPr="00614805">
              <w:rPr>
                <w:rFonts w:ascii="Times New Roman" w:eastAsia="新細明體" w:hAnsi="Times New Roman"/>
              </w:rPr>
              <w:t>-value</w:t>
            </w:r>
          </w:p>
        </w:tc>
      </w:tr>
      <w:bookmarkEnd w:id="22"/>
      <w:tr w:rsidR="00614805" w:rsidRPr="00614805" w14:paraId="75465D49" w14:textId="77777777" w:rsidTr="00095FC4">
        <w:tc>
          <w:tcPr>
            <w:tcW w:w="4673" w:type="dxa"/>
            <w:tcBorders>
              <w:top w:val="single" w:sz="4" w:space="0" w:color="auto"/>
            </w:tcBorders>
          </w:tcPr>
          <w:p w14:paraId="2558DEB6"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Age, years</w:t>
            </w:r>
            <w:r w:rsidRPr="00614805">
              <w:rPr>
                <w:rFonts w:ascii="Times New Roman" w:eastAsia="新細明體" w:hAnsi="Times New Roman" w:hint="eastAsia"/>
              </w:rPr>
              <w:t xml:space="preserve"> </w:t>
            </w:r>
          </w:p>
        </w:tc>
        <w:tc>
          <w:tcPr>
            <w:tcW w:w="2090" w:type="dxa"/>
          </w:tcPr>
          <w:p w14:paraId="5D64BBA7"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1.00</w:t>
            </w:r>
          </w:p>
        </w:tc>
        <w:tc>
          <w:tcPr>
            <w:tcW w:w="2091" w:type="dxa"/>
          </w:tcPr>
          <w:p w14:paraId="7C7FDB74"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0</w:t>
            </w:r>
            <w:r w:rsidRPr="00614805">
              <w:rPr>
                <w:rFonts w:ascii="Times New Roman" w:eastAsia="新細明體" w:hAnsi="Times New Roman"/>
              </w:rPr>
              <w:t>.98-1.02</w:t>
            </w:r>
          </w:p>
        </w:tc>
        <w:tc>
          <w:tcPr>
            <w:tcW w:w="2091" w:type="dxa"/>
            <w:tcBorders>
              <w:top w:val="single" w:sz="4" w:space="0" w:color="auto"/>
            </w:tcBorders>
          </w:tcPr>
          <w:p w14:paraId="5012FB4F" w14:textId="77777777" w:rsidR="00614805" w:rsidRPr="00614805" w:rsidRDefault="00614805" w:rsidP="00614805">
            <w:pPr>
              <w:rPr>
                <w:rFonts w:ascii="Times New Roman" w:eastAsia="新細明體" w:hAnsi="Times New Roman"/>
              </w:rPr>
            </w:pPr>
          </w:p>
        </w:tc>
        <w:tc>
          <w:tcPr>
            <w:tcW w:w="2091" w:type="dxa"/>
            <w:tcBorders>
              <w:top w:val="single" w:sz="4" w:space="0" w:color="auto"/>
            </w:tcBorders>
          </w:tcPr>
          <w:p w14:paraId="033FDD72" w14:textId="77777777" w:rsidR="00614805" w:rsidRPr="00614805" w:rsidRDefault="00614805" w:rsidP="00614805">
            <w:pPr>
              <w:rPr>
                <w:rFonts w:ascii="Times New Roman" w:eastAsia="新細明體" w:hAnsi="Times New Roman"/>
              </w:rPr>
            </w:pPr>
          </w:p>
        </w:tc>
        <w:tc>
          <w:tcPr>
            <w:tcW w:w="993" w:type="dxa"/>
            <w:tcBorders>
              <w:top w:val="single" w:sz="4" w:space="0" w:color="auto"/>
            </w:tcBorders>
          </w:tcPr>
          <w:p w14:paraId="441F066D" w14:textId="77777777" w:rsidR="00614805" w:rsidRPr="00614805" w:rsidRDefault="00614805" w:rsidP="00614805">
            <w:pPr>
              <w:rPr>
                <w:rFonts w:ascii="Times New Roman" w:eastAsia="新細明體" w:hAnsi="Times New Roman"/>
              </w:rPr>
            </w:pPr>
          </w:p>
        </w:tc>
      </w:tr>
      <w:tr w:rsidR="00614805" w:rsidRPr="00614805" w14:paraId="23B4C026" w14:textId="77777777" w:rsidTr="00095FC4">
        <w:tc>
          <w:tcPr>
            <w:tcW w:w="4673" w:type="dxa"/>
          </w:tcPr>
          <w:p w14:paraId="2775BA9F"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Male sex</w:t>
            </w:r>
          </w:p>
        </w:tc>
        <w:tc>
          <w:tcPr>
            <w:tcW w:w="2090" w:type="dxa"/>
          </w:tcPr>
          <w:p w14:paraId="6A853E66"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2</w:t>
            </w:r>
            <w:r w:rsidRPr="00614805">
              <w:rPr>
                <w:rFonts w:ascii="Times New Roman" w:eastAsia="新細明體" w:hAnsi="Times New Roman"/>
              </w:rPr>
              <w:t>.16</w:t>
            </w:r>
          </w:p>
        </w:tc>
        <w:tc>
          <w:tcPr>
            <w:tcW w:w="2091" w:type="dxa"/>
          </w:tcPr>
          <w:p w14:paraId="14B7CAB0"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1</w:t>
            </w:r>
            <w:r w:rsidRPr="00614805">
              <w:rPr>
                <w:rFonts w:ascii="Times New Roman" w:eastAsia="新細明體" w:hAnsi="Times New Roman"/>
              </w:rPr>
              <w:t>.25-3.73</w:t>
            </w:r>
          </w:p>
        </w:tc>
        <w:tc>
          <w:tcPr>
            <w:tcW w:w="2091" w:type="dxa"/>
          </w:tcPr>
          <w:p w14:paraId="69E79089" w14:textId="77777777" w:rsidR="00614805" w:rsidRPr="00614805" w:rsidRDefault="00614805" w:rsidP="00614805">
            <w:pPr>
              <w:rPr>
                <w:rFonts w:ascii="Times New Roman" w:eastAsia="新細明體" w:hAnsi="Times New Roman"/>
              </w:rPr>
            </w:pPr>
          </w:p>
        </w:tc>
        <w:tc>
          <w:tcPr>
            <w:tcW w:w="2091" w:type="dxa"/>
          </w:tcPr>
          <w:p w14:paraId="73A0C65C" w14:textId="77777777" w:rsidR="00614805" w:rsidRPr="00614805" w:rsidRDefault="00614805" w:rsidP="00614805">
            <w:pPr>
              <w:rPr>
                <w:rFonts w:ascii="Times New Roman" w:eastAsia="新細明體" w:hAnsi="Times New Roman"/>
              </w:rPr>
            </w:pPr>
          </w:p>
        </w:tc>
        <w:tc>
          <w:tcPr>
            <w:tcW w:w="993" w:type="dxa"/>
          </w:tcPr>
          <w:p w14:paraId="79E6BB84" w14:textId="77777777" w:rsidR="00614805" w:rsidRPr="00614805" w:rsidRDefault="00614805" w:rsidP="00614805">
            <w:pPr>
              <w:rPr>
                <w:rFonts w:ascii="Times New Roman" w:eastAsia="新細明體" w:hAnsi="Times New Roman"/>
              </w:rPr>
            </w:pPr>
          </w:p>
        </w:tc>
      </w:tr>
      <w:tr w:rsidR="00614805" w:rsidRPr="00614805" w14:paraId="32B65A9D" w14:textId="77777777" w:rsidTr="00095FC4">
        <w:tc>
          <w:tcPr>
            <w:tcW w:w="4673" w:type="dxa"/>
          </w:tcPr>
          <w:p w14:paraId="683C3BC2"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EOT p</w:t>
            </w:r>
            <w:r w:rsidRPr="00614805">
              <w:rPr>
                <w:rFonts w:ascii="Times New Roman" w:eastAsia="新細明體" w:hAnsi="Times New Roman"/>
              </w:rPr>
              <w:t>ositive anti‐</w:t>
            </w:r>
            <w:proofErr w:type="spellStart"/>
            <w:r w:rsidRPr="00614805">
              <w:rPr>
                <w:rFonts w:ascii="Times New Roman" w:eastAsia="新細明體" w:hAnsi="Times New Roman"/>
              </w:rPr>
              <w:t>HBe</w:t>
            </w:r>
            <w:proofErr w:type="spellEnd"/>
          </w:p>
        </w:tc>
        <w:tc>
          <w:tcPr>
            <w:tcW w:w="2090" w:type="dxa"/>
          </w:tcPr>
          <w:p w14:paraId="69CD6607"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0</w:t>
            </w:r>
            <w:r w:rsidRPr="00614805">
              <w:rPr>
                <w:rFonts w:ascii="Times New Roman" w:eastAsia="新細明體" w:hAnsi="Times New Roman"/>
              </w:rPr>
              <w:t>.71</w:t>
            </w:r>
          </w:p>
        </w:tc>
        <w:tc>
          <w:tcPr>
            <w:tcW w:w="2091" w:type="dxa"/>
          </w:tcPr>
          <w:p w14:paraId="07D0119C"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0</w:t>
            </w:r>
            <w:r w:rsidRPr="00614805">
              <w:rPr>
                <w:rFonts w:ascii="Times New Roman" w:eastAsia="新細明體" w:hAnsi="Times New Roman"/>
              </w:rPr>
              <w:t>.35-1.46</w:t>
            </w:r>
          </w:p>
        </w:tc>
        <w:tc>
          <w:tcPr>
            <w:tcW w:w="2091" w:type="dxa"/>
          </w:tcPr>
          <w:p w14:paraId="544032D6"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0</w:t>
            </w:r>
            <w:r w:rsidRPr="00614805">
              <w:rPr>
                <w:rFonts w:ascii="Times New Roman" w:hAnsi="Times New Roman"/>
                <w:szCs w:val="22"/>
              </w:rPr>
              <w:t>.34</w:t>
            </w:r>
          </w:p>
        </w:tc>
        <w:tc>
          <w:tcPr>
            <w:tcW w:w="2091" w:type="dxa"/>
          </w:tcPr>
          <w:p w14:paraId="3DEB192E"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0</w:t>
            </w:r>
            <w:r w:rsidRPr="00614805">
              <w:rPr>
                <w:rFonts w:ascii="Times New Roman" w:hAnsi="Times New Roman"/>
                <w:szCs w:val="22"/>
              </w:rPr>
              <w:t>.21-0.56</w:t>
            </w:r>
          </w:p>
        </w:tc>
        <w:tc>
          <w:tcPr>
            <w:tcW w:w="993" w:type="dxa"/>
          </w:tcPr>
          <w:p w14:paraId="7F31C097"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&lt;</w:t>
            </w:r>
            <w:r w:rsidRPr="00614805">
              <w:rPr>
                <w:rFonts w:ascii="Times New Roman" w:hAnsi="Times New Roman"/>
                <w:szCs w:val="22"/>
              </w:rPr>
              <w:t>0.001</w:t>
            </w:r>
          </w:p>
        </w:tc>
      </w:tr>
      <w:tr w:rsidR="00614805" w:rsidRPr="00614805" w14:paraId="0076BD9C" w14:textId="77777777" w:rsidTr="00095FC4">
        <w:tc>
          <w:tcPr>
            <w:tcW w:w="4673" w:type="dxa"/>
          </w:tcPr>
          <w:p w14:paraId="18BF1952" w14:textId="77777777" w:rsidR="00614805" w:rsidRPr="00614805" w:rsidRDefault="00614805" w:rsidP="00614805">
            <w:pPr>
              <w:rPr>
                <w:rFonts w:ascii="Times New Roman" w:eastAsia="新細明體" w:hAnsi="Times New Roman"/>
              </w:rPr>
            </w:pPr>
            <w:bookmarkStart w:id="26" w:name="_Hlk102946462"/>
            <w:r w:rsidRPr="00614805">
              <w:rPr>
                <w:rFonts w:ascii="Times New Roman" w:eastAsia="新細明體" w:hAnsi="Times New Roman"/>
              </w:rPr>
              <w:t>EOT HBsAg, log IU/mL</w:t>
            </w:r>
          </w:p>
        </w:tc>
        <w:tc>
          <w:tcPr>
            <w:tcW w:w="2090" w:type="dxa"/>
          </w:tcPr>
          <w:p w14:paraId="763B21EC"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1</w:t>
            </w:r>
            <w:r w:rsidRPr="00614805">
              <w:rPr>
                <w:rFonts w:ascii="Times New Roman" w:eastAsia="新細明體" w:hAnsi="Times New Roman"/>
              </w:rPr>
              <w:t>.84</w:t>
            </w:r>
          </w:p>
        </w:tc>
        <w:tc>
          <w:tcPr>
            <w:tcW w:w="2091" w:type="dxa"/>
          </w:tcPr>
          <w:p w14:paraId="55915158"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1</w:t>
            </w:r>
            <w:r w:rsidRPr="00614805">
              <w:rPr>
                <w:rFonts w:ascii="Times New Roman" w:eastAsia="新細明體" w:hAnsi="Times New Roman"/>
              </w:rPr>
              <w:t>.47-2.30</w:t>
            </w:r>
          </w:p>
        </w:tc>
        <w:tc>
          <w:tcPr>
            <w:tcW w:w="2091" w:type="dxa"/>
          </w:tcPr>
          <w:p w14:paraId="42EA8B7D"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1</w:t>
            </w:r>
            <w:r w:rsidRPr="00614805">
              <w:rPr>
                <w:rFonts w:ascii="Times New Roman" w:hAnsi="Times New Roman"/>
                <w:szCs w:val="22"/>
              </w:rPr>
              <w:t>.39</w:t>
            </w:r>
          </w:p>
        </w:tc>
        <w:tc>
          <w:tcPr>
            <w:tcW w:w="2091" w:type="dxa"/>
          </w:tcPr>
          <w:p w14:paraId="3AF6112E"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1</w:t>
            </w:r>
            <w:r w:rsidRPr="00614805">
              <w:rPr>
                <w:rFonts w:ascii="Times New Roman" w:hAnsi="Times New Roman"/>
                <w:szCs w:val="22"/>
              </w:rPr>
              <w:t>.02-1.90</w:t>
            </w:r>
          </w:p>
        </w:tc>
        <w:tc>
          <w:tcPr>
            <w:tcW w:w="993" w:type="dxa"/>
          </w:tcPr>
          <w:p w14:paraId="0CFDD23A"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0</w:t>
            </w:r>
            <w:r w:rsidRPr="00614805">
              <w:rPr>
                <w:rFonts w:ascii="Times New Roman" w:hAnsi="Times New Roman"/>
                <w:szCs w:val="22"/>
              </w:rPr>
              <w:t>.036</w:t>
            </w:r>
          </w:p>
        </w:tc>
      </w:tr>
      <w:tr w:rsidR="00614805" w:rsidRPr="00614805" w14:paraId="1AF92FE5" w14:textId="77777777" w:rsidTr="00095FC4">
        <w:tc>
          <w:tcPr>
            <w:tcW w:w="4673" w:type="dxa"/>
          </w:tcPr>
          <w:p w14:paraId="6654C889"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 xml:space="preserve">EOT </w:t>
            </w:r>
            <w:proofErr w:type="spellStart"/>
            <w:r w:rsidRPr="00614805">
              <w:rPr>
                <w:rFonts w:ascii="Times New Roman" w:eastAsia="新細明體" w:hAnsi="Times New Roman"/>
              </w:rPr>
              <w:t>HBcrAg</w:t>
            </w:r>
            <w:proofErr w:type="spellEnd"/>
            <w:r w:rsidRPr="00614805">
              <w:rPr>
                <w:rFonts w:ascii="Times New Roman" w:eastAsia="新細明體" w:hAnsi="Times New Roman"/>
              </w:rPr>
              <w:t>, log U/mL</w:t>
            </w:r>
          </w:p>
        </w:tc>
        <w:tc>
          <w:tcPr>
            <w:tcW w:w="2090" w:type="dxa"/>
          </w:tcPr>
          <w:p w14:paraId="5D9E18D2"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1.30</w:t>
            </w:r>
          </w:p>
        </w:tc>
        <w:tc>
          <w:tcPr>
            <w:tcW w:w="2091" w:type="dxa"/>
          </w:tcPr>
          <w:p w14:paraId="152B088F"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1.10-1.53</w:t>
            </w:r>
          </w:p>
        </w:tc>
        <w:tc>
          <w:tcPr>
            <w:tcW w:w="2091" w:type="dxa"/>
          </w:tcPr>
          <w:p w14:paraId="2EF40861" w14:textId="77777777" w:rsidR="00614805" w:rsidRPr="00614805" w:rsidRDefault="00614805" w:rsidP="00614805">
            <w:pPr>
              <w:rPr>
                <w:rFonts w:ascii="Times New Roman" w:eastAsiaTheme="minorEastAsia" w:hAnsi="Times New Roman"/>
                <w:szCs w:val="22"/>
              </w:rPr>
            </w:pPr>
          </w:p>
        </w:tc>
        <w:tc>
          <w:tcPr>
            <w:tcW w:w="2091" w:type="dxa"/>
          </w:tcPr>
          <w:p w14:paraId="62F22E14" w14:textId="77777777" w:rsidR="00614805" w:rsidRPr="00614805" w:rsidRDefault="00614805" w:rsidP="00614805">
            <w:pPr>
              <w:rPr>
                <w:rFonts w:ascii="Times New Roman" w:eastAsiaTheme="minorEastAsia" w:hAnsi="Times New Roman"/>
                <w:szCs w:val="22"/>
              </w:rPr>
            </w:pPr>
          </w:p>
        </w:tc>
        <w:tc>
          <w:tcPr>
            <w:tcW w:w="993" w:type="dxa"/>
          </w:tcPr>
          <w:p w14:paraId="7FDEA1FC" w14:textId="77777777" w:rsidR="00614805" w:rsidRPr="00614805" w:rsidRDefault="00614805" w:rsidP="00614805">
            <w:pPr>
              <w:rPr>
                <w:rFonts w:ascii="Times New Roman" w:eastAsiaTheme="minorEastAsia" w:hAnsi="Times New Roman"/>
                <w:szCs w:val="22"/>
              </w:rPr>
            </w:pPr>
          </w:p>
        </w:tc>
      </w:tr>
      <w:bookmarkEnd w:id="26"/>
      <w:tr w:rsidR="00614805" w:rsidRPr="00614805" w14:paraId="18C041C5" w14:textId="77777777" w:rsidTr="00095FC4">
        <w:tc>
          <w:tcPr>
            <w:tcW w:w="4673" w:type="dxa"/>
          </w:tcPr>
          <w:p w14:paraId="64AF14AB" w14:textId="77777777" w:rsidR="00614805" w:rsidRPr="00614805" w:rsidRDefault="00614805" w:rsidP="00614805">
            <w:pPr>
              <w:rPr>
                <w:rFonts w:ascii="Times New Roman" w:eastAsia="新細明體" w:hAnsi="Times New Roman"/>
                <w:highlight w:val="yellow"/>
              </w:rPr>
            </w:pPr>
            <w:r w:rsidRPr="00614805">
              <w:rPr>
                <w:rFonts w:ascii="Times New Roman" w:eastAsia="新細明體" w:hAnsi="Times New Roman"/>
              </w:rPr>
              <w:t xml:space="preserve">Time-varying </w:t>
            </w:r>
            <w:proofErr w:type="spellStart"/>
            <w:r w:rsidRPr="00614805">
              <w:rPr>
                <w:rFonts w:ascii="Times New Roman" w:eastAsia="新細明體" w:hAnsi="Times New Roman"/>
              </w:rPr>
              <w:t>HBcrAg</w:t>
            </w:r>
            <w:proofErr w:type="spellEnd"/>
            <w:r w:rsidRPr="00614805">
              <w:rPr>
                <w:rFonts w:ascii="Times New Roman" w:eastAsia="新細明體" w:hAnsi="Times New Roman"/>
              </w:rPr>
              <w:t xml:space="preserve"> level, log U/mL</w:t>
            </w:r>
          </w:p>
        </w:tc>
        <w:tc>
          <w:tcPr>
            <w:tcW w:w="2090" w:type="dxa"/>
          </w:tcPr>
          <w:p w14:paraId="2BB8D1F8"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1</w:t>
            </w:r>
            <w:r w:rsidRPr="00614805">
              <w:rPr>
                <w:rFonts w:ascii="Times New Roman" w:eastAsia="新細明體" w:hAnsi="Times New Roman"/>
              </w:rPr>
              <w:t>.36</w:t>
            </w:r>
          </w:p>
        </w:tc>
        <w:tc>
          <w:tcPr>
            <w:tcW w:w="2091" w:type="dxa"/>
          </w:tcPr>
          <w:p w14:paraId="6C5BD582"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1</w:t>
            </w:r>
            <w:r w:rsidRPr="00614805">
              <w:rPr>
                <w:rFonts w:ascii="Times New Roman" w:eastAsia="新細明體" w:hAnsi="Times New Roman"/>
              </w:rPr>
              <w:t>.14-1.63</w:t>
            </w:r>
          </w:p>
        </w:tc>
        <w:tc>
          <w:tcPr>
            <w:tcW w:w="2091" w:type="dxa"/>
          </w:tcPr>
          <w:p w14:paraId="1A1AC1D5"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1</w:t>
            </w:r>
            <w:r w:rsidRPr="00614805">
              <w:rPr>
                <w:rFonts w:ascii="Times New Roman" w:hAnsi="Times New Roman"/>
                <w:szCs w:val="22"/>
              </w:rPr>
              <w:t>.33</w:t>
            </w:r>
          </w:p>
        </w:tc>
        <w:tc>
          <w:tcPr>
            <w:tcW w:w="2091" w:type="dxa"/>
          </w:tcPr>
          <w:p w14:paraId="0F8AC78C"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1</w:t>
            </w:r>
            <w:r w:rsidRPr="00614805">
              <w:rPr>
                <w:rFonts w:ascii="Times New Roman" w:hAnsi="Times New Roman"/>
                <w:szCs w:val="22"/>
              </w:rPr>
              <w:t>.13-1.58</w:t>
            </w:r>
          </w:p>
        </w:tc>
        <w:tc>
          <w:tcPr>
            <w:tcW w:w="993" w:type="dxa"/>
          </w:tcPr>
          <w:p w14:paraId="5A15FE0E"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&lt;</w:t>
            </w:r>
            <w:r w:rsidRPr="00614805">
              <w:rPr>
                <w:rFonts w:ascii="Times New Roman" w:hAnsi="Times New Roman"/>
                <w:szCs w:val="22"/>
              </w:rPr>
              <w:t>0.001</w:t>
            </w:r>
          </w:p>
        </w:tc>
      </w:tr>
      <w:tr w:rsidR="00614805" w:rsidRPr="00614805" w14:paraId="37FFB0C6" w14:textId="77777777" w:rsidTr="00095FC4">
        <w:tc>
          <w:tcPr>
            <w:tcW w:w="4673" w:type="dxa"/>
          </w:tcPr>
          <w:p w14:paraId="22A7DE83"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 xml:space="preserve">EOT </w:t>
            </w:r>
            <w:r w:rsidRPr="00614805">
              <w:rPr>
                <w:rFonts w:ascii="Times New Roman" w:eastAsia="新細明體" w:hAnsi="Times New Roman"/>
              </w:rPr>
              <w:t>ALT, U/L</w:t>
            </w:r>
          </w:p>
        </w:tc>
        <w:tc>
          <w:tcPr>
            <w:tcW w:w="2090" w:type="dxa"/>
          </w:tcPr>
          <w:p w14:paraId="1D10070E"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1</w:t>
            </w:r>
            <w:r w:rsidRPr="00614805">
              <w:rPr>
                <w:rFonts w:ascii="Times New Roman" w:eastAsia="新細明體" w:hAnsi="Times New Roman"/>
              </w:rPr>
              <w:t>.00</w:t>
            </w:r>
          </w:p>
        </w:tc>
        <w:tc>
          <w:tcPr>
            <w:tcW w:w="2091" w:type="dxa"/>
          </w:tcPr>
          <w:p w14:paraId="0AEB7829"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1</w:t>
            </w:r>
            <w:r w:rsidRPr="00614805">
              <w:rPr>
                <w:rFonts w:ascii="Times New Roman" w:eastAsia="新細明體" w:hAnsi="Times New Roman"/>
              </w:rPr>
              <w:t>.00-1.01</w:t>
            </w:r>
          </w:p>
        </w:tc>
        <w:tc>
          <w:tcPr>
            <w:tcW w:w="2091" w:type="dxa"/>
          </w:tcPr>
          <w:p w14:paraId="066D68BB"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1</w:t>
            </w:r>
            <w:r w:rsidRPr="00614805">
              <w:rPr>
                <w:rFonts w:ascii="Times New Roman" w:hAnsi="Times New Roman"/>
                <w:szCs w:val="22"/>
              </w:rPr>
              <w:t>.01</w:t>
            </w:r>
          </w:p>
        </w:tc>
        <w:tc>
          <w:tcPr>
            <w:tcW w:w="2091" w:type="dxa"/>
          </w:tcPr>
          <w:p w14:paraId="2E578B60"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1</w:t>
            </w:r>
            <w:r w:rsidRPr="00614805">
              <w:rPr>
                <w:rFonts w:ascii="Times New Roman" w:hAnsi="Times New Roman"/>
                <w:szCs w:val="22"/>
              </w:rPr>
              <w:t>.00-1.02</w:t>
            </w:r>
          </w:p>
        </w:tc>
        <w:tc>
          <w:tcPr>
            <w:tcW w:w="993" w:type="dxa"/>
          </w:tcPr>
          <w:p w14:paraId="6F8AB99D" w14:textId="77777777" w:rsidR="00614805" w:rsidRPr="00614805" w:rsidRDefault="00614805" w:rsidP="00614805">
            <w:pPr>
              <w:rPr>
                <w:rFonts w:ascii="Times New Roman" w:eastAsia="新細明體" w:hAnsi="Times New Roman"/>
              </w:rPr>
            </w:pPr>
            <w:r w:rsidRPr="00614805">
              <w:rPr>
                <w:rFonts w:ascii="Times New Roman" w:hAnsi="Times New Roman" w:hint="eastAsia"/>
                <w:szCs w:val="22"/>
              </w:rPr>
              <w:t>&lt;</w:t>
            </w:r>
            <w:r w:rsidRPr="00614805">
              <w:rPr>
                <w:rFonts w:ascii="Times New Roman" w:hAnsi="Times New Roman"/>
                <w:szCs w:val="22"/>
              </w:rPr>
              <w:t>0.001</w:t>
            </w:r>
          </w:p>
        </w:tc>
      </w:tr>
      <w:tr w:rsidR="00614805" w:rsidRPr="00614805" w14:paraId="5A4C987C" w14:textId="77777777" w:rsidTr="00095FC4">
        <w:tc>
          <w:tcPr>
            <w:tcW w:w="4673" w:type="dxa"/>
          </w:tcPr>
          <w:p w14:paraId="672D75C4"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Tenofovir use (vs entecavir)</w:t>
            </w:r>
          </w:p>
        </w:tc>
        <w:tc>
          <w:tcPr>
            <w:tcW w:w="2090" w:type="dxa"/>
          </w:tcPr>
          <w:p w14:paraId="560BD83D"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0</w:t>
            </w:r>
            <w:r w:rsidRPr="00614805">
              <w:rPr>
                <w:rFonts w:ascii="Times New Roman" w:eastAsia="新細明體" w:hAnsi="Times New Roman"/>
              </w:rPr>
              <w:t>.80</w:t>
            </w:r>
          </w:p>
        </w:tc>
        <w:tc>
          <w:tcPr>
            <w:tcW w:w="2091" w:type="dxa"/>
          </w:tcPr>
          <w:p w14:paraId="1F73758D"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0</w:t>
            </w:r>
            <w:r w:rsidRPr="00614805">
              <w:rPr>
                <w:rFonts w:ascii="Times New Roman" w:eastAsia="新細明體" w:hAnsi="Times New Roman"/>
              </w:rPr>
              <w:t>.54-1.18</w:t>
            </w:r>
          </w:p>
        </w:tc>
        <w:tc>
          <w:tcPr>
            <w:tcW w:w="2091" w:type="dxa"/>
          </w:tcPr>
          <w:p w14:paraId="2B717073" w14:textId="77777777" w:rsidR="00614805" w:rsidRPr="00614805" w:rsidRDefault="00614805" w:rsidP="00614805">
            <w:pPr>
              <w:rPr>
                <w:rFonts w:ascii="Times New Roman" w:eastAsia="新細明體" w:hAnsi="Times New Roman"/>
              </w:rPr>
            </w:pPr>
          </w:p>
        </w:tc>
        <w:tc>
          <w:tcPr>
            <w:tcW w:w="2091" w:type="dxa"/>
          </w:tcPr>
          <w:p w14:paraId="39F3B788" w14:textId="77777777" w:rsidR="00614805" w:rsidRPr="00614805" w:rsidRDefault="00614805" w:rsidP="00614805">
            <w:pPr>
              <w:rPr>
                <w:rFonts w:ascii="Times New Roman" w:eastAsia="新細明體" w:hAnsi="Times New Roman"/>
              </w:rPr>
            </w:pPr>
          </w:p>
        </w:tc>
        <w:tc>
          <w:tcPr>
            <w:tcW w:w="993" w:type="dxa"/>
          </w:tcPr>
          <w:p w14:paraId="55D4A862" w14:textId="77777777" w:rsidR="00614805" w:rsidRPr="00614805" w:rsidRDefault="00614805" w:rsidP="00614805">
            <w:pPr>
              <w:rPr>
                <w:rFonts w:ascii="Times New Roman" w:eastAsia="新細明體" w:hAnsi="Times New Roman"/>
              </w:rPr>
            </w:pPr>
          </w:p>
        </w:tc>
      </w:tr>
      <w:tr w:rsidR="00614805" w:rsidRPr="00614805" w14:paraId="4AF419DA" w14:textId="77777777" w:rsidTr="00095FC4">
        <w:tc>
          <w:tcPr>
            <w:tcW w:w="4673" w:type="dxa"/>
          </w:tcPr>
          <w:p w14:paraId="4782A191"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Duration on therapy, mo</w:t>
            </w:r>
            <w:r w:rsidRPr="00614805">
              <w:rPr>
                <w:rFonts w:ascii="Times New Roman" w:eastAsia="新細明體" w:hAnsi="Times New Roman" w:hint="eastAsia"/>
              </w:rPr>
              <w:t>n</w:t>
            </w:r>
            <w:r w:rsidRPr="00614805">
              <w:rPr>
                <w:rFonts w:ascii="Times New Roman" w:eastAsia="新細明體" w:hAnsi="Times New Roman"/>
              </w:rPr>
              <w:t>ths</w:t>
            </w:r>
          </w:p>
        </w:tc>
        <w:tc>
          <w:tcPr>
            <w:tcW w:w="2090" w:type="dxa"/>
          </w:tcPr>
          <w:p w14:paraId="797D0D51"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0</w:t>
            </w:r>
            <w:r w:rsidRPr="00614805">
              <w:rPr>
                <w:rFonts w:ascii="Times New Roman" w:eastAsia="新細明體" w:hAnsi="Times New Roman"/>
              </w:rPr>
              <w:t>.99</w:t>
            </w:r>
          </w:p>
        </w:tc>
        <w:tc>
          <w:tcPr>
            <w:tcW w:w="2091" w:type="dxa"/>
          </w:tcPr>
          <w:p w14:paraId="4D74CDDE"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0</w:t>
            </w:r>
            <w:r w:rsidRPr="00614805">
              <w:rPr>
                <w:rFonts w:ascii="Times New Roman" w:eastAsia="新細明體" w:hAnsi="Times New Roman"/>
              </w:rPr>
              <w:t>.97-1.00</w:t>
            </w:r>
          </w:p>
        </w:tc>
        <w:tc>
          <w:tcPr>
            <w:tcW w:w="2091" w:type="dxa"/>
          </w:tcPr>
          <w:p w14:paraId="150A97CA" w14:textId="77777777" w:rsidR="00614805" w:rsidRPr="00614805" w:rsidRDefault="00614805" w:rsidP="00614805">
            <w:pPr>
              <w:rPr>
                <w:rFonts w:ascii="Times New Roman" w:eastAsia="新細明體" w:hAnsi="Times New Roman"/>
              </w:rPr>
            </w:pPr>
          </w:p>
        </w:tc>
        <w:tc>
          <w:tcPr>
            <w:tcW w:w="2091" w:type="dxa"/>
          </w:tcPr>
          <w:p w14:paraId="526DE790" w14:textId="77777777" w:rsidR="00614805" w:rsidRPr="00614805" w:rsidRDefault="00614805" w:rsidP="00614805">
            <w:pPr>
              <w:rPr>
                <w:rFonts w:ascii="Times New Roman" w:eastAsia="新細明體" w:hAnsi="Times New Roman"/>
              </w:rPr>
            </w:pPr>
          </w:p>
        </w:tc>
        <w:tc>
          <w:tcPr>
            <w:tcW w:w="993" w:type="dxa"/>
          </w:tcPr>
          <w:p w14:paraId="5D596E94" w14:textId="77777777" w:rsidR="00614805" w:rsidRPr="00614805" w:rsidRDefault="00614805" w:rsidP="00614805">
            <w:pPr>
              <w:rPr>
                <w:rFonts w:ascii="Times New Roman" w:eastAsia="新細明體" w:hAnsi="Times New Roman"/>
              </w:rPr>
            </w:pPr>
          </w:p>
        </w:tc>
      </w:tr>
      <w:tr w:rsidR="00614805" w:rsidRPr="00614805" w14:paraId="7918C855" w14:textId="77777777" w:rsidTr="00095FC4">
        <w:tc>
          <w:tcPr>
            <w:tcW w:w="4673" w:type="dxa"/>
          </w:tcPr>
          <w:p w14:paraId="1190A43A"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Pre‐treatment positive HBeAg</w:t>
            </w:r>
          </w:p>
        </w:tc>
        <w:tc>
          <w:tcPr>
            <w:tcW w:w="2090" w:type="dxa"/>
          </w:tcPr>
          <w:p w14:paraId="74F90B5A"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1</w:t>
            </w:r>
            <w:r w:rsidRPr="00614805">
              <w:rPr>
                <w:rFonts w:ascii="Times New Roman" w:eastAsia="新細明體" w:hAnsi="Times New Roman"/>
              </w:rPr>
              <w:t>.29</w:t>
            </w:r>
          </w:p>
        </w:tc>
        <w:tc>
          <w:tcPr>
            <w:tcW w:w="2091" w:type="dxa"/>
          </w:tcPr>
          <w:p w14:paraId="11356413"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0</w:t>
            </w:r>
            <w:r w:rsidRPr="00614805">
              <w:rPr>
                <w:rFonts w:ascii="Times New Roman" w:eastAsia="新細明體" w:hAnsi="Times New Roman"/>
              </w:rPr>
              <w:t>.80-2.08</w:t>
            </w:r>
          </w:p>
        </w:tc>
        <w:tc>
          <w:tcPr>
            <w:tcW w:w="2091" w:type="dxa"/>
          </w:tcPr>
          <w:p w14:paraId="484CE16D" w14:textId="77777777" w:rsidR="00614805" w:rsidRPr="00614805" w:rsidRDefault="00614805" w:rsidP="00614805">
            <w:pPr>
              <w:rPr>
                <w:rFonts w:ascii="Times New Roman" w:eastAsia="新細明體" w:hAnsi="Times New Roman"/>
              </w:rPr>
            </w:pPr>
          </w:p>
        </w:tc>
        <w:tc>
          <w:tcPr>
            <w:tcW w:w="2091" w:type="dxa"/>
          </w:tcPr>
          <w:p w14:paraId="4870F919" w14:textId="77777777" w:rsidR="00614805" w:rsidRPr="00614805" w:rsidRDefault="00614805" w:rsidP="00614805">
            <w:pPr>
              <w:rPr>
                <w:rFonts w:ascii="Times New Roman" w:eastAsia="新細明體" w:hAnsi="Times New Roman"/>
              </w:rPr>
            </w:pPr>
          </w:p>
        </w:tc>
        <w:tc>
          <w:tcPr>
            <w:tcW w:w="993" w:type="dxa"/>
          </w:tcPr>
          <w:p w14:paraId="31112081" w14:textId="77777777" w:rsidR="00614805" w:rsidRPr="00614805" w:rsidRDefault="00614805" w:rsidP="00614805">
            <w:pPr>
              <w:rPr>
                <w:rFonts w:ascii="Times New Roman" w:eastAsia="新細明體" w:hAnsi="Times New Roman"/>
              </w:rPr>
            </w:pPr>
          </w:p>
        </w:tc>
      </w:tr>
      <w:tr w:rsidR="00614805" w:rsidRPr="00614805" w14:paraId="7AF4869C" w14:textId="77777777" w:rsidTr="00095FC4">
        <w:tc>
          <w:tcPr>
            <w:tcW w:w="4673" w:type="dxa"/>
          </w:tcPr>
          <w:p w14:paraId="46CA4C0E"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Pre‐treatment positive anti‐</w:t>
            </w:r>
            <w:proofErr w:type="spellStart"/>
            <w:r w:rsidRPr="00614805">
              <w:rPr>
                <w:rFonts w:ascii="Times New Roman" w:eastAsia="新細明體" w:hAnsi="Times New Roman"/>
              </w:rPr>
              <w:t>HBe</w:t>
            </w:r>
            <w:proofErr w:type="spellEnd"/>
          </w:p>
        </w:tc>
        <w:tc>
          <w:tcPr>
            <w:tcW w:w="2090" w:type="dxa"/>
          </w:tcPr>
          <w:p w14:paraId="59D49392"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0</w:t>
            </w:r>
            <w:r w:rsidRPr="00614805">
              <w:rPr>
                <w:rFonts w:ascii="Times New Roman" w:eastAsia="新細明體" w:hAnsi="Times New Roman"/>
              </w:rPr>
              <w:t>.83</w:t>
            </w:r>
          </w:p>
        </w:tc>
        <w:tc>
          <w:tcPr>
            <w:tcW w:w="2091" w:type="dxa"/>
          </w:tcPr>
          <w:p w14:paraId="4B2E23C0"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hint="eastAsia"/>
              </w:rPr>
              <w:t>0</w:t>
            </w:r>
            <w:r w:rsidRPr="00614805">
              <w:rPr>
                <w:rFonts w:ascii="Times New Roman" w:eastAsia="新細明體" w:hAnsi="Times New Roman"/>
              </w:rPr>
              <w:t>.52-1.32</w:t>
            </w:r>
          </w:p>
        </w:tc>
        <w:tc>
          <w:tcPr>
            <w:tcW w:w="2091" w:type="dxa"/>
          </w:tcPr>
          <w:p w14:paraId="441E632D" w14:textId="77777777" w:rsidR="00614805" w:rsidRPr="00614805" w:rsidRDefault="00614805" w:rsidP="00614805">
            <w:pPr>
              <w:rPr>
                <w:rFonts w:ascii="Times New Roman" w:eastAsia="新細明體" w:hAnsi="Times New Roman"/>
              </w:rPr>
            </w:pPr>
          </w:p>
        </w:tc>
        <w:tc>
          <w:tcPr>
            <w:tcW w:w="2091" w:type="dxa"/>
          </w:tcPr>
          <w:p w14:paraId="5CCF9ACD" w14:textId="77777777" w:rsidR="00614805" w:rsidRPr="00614805" w:rsidRDefault="00614805" w:rsidP="00614805">
            <w:pPr>
              <w:rPr>
                <w:rFonts w:ascii="Times New Roman" w:eastAsia="新細明體" w:hAnsi="Times New Roman"/>
              </w:rPr>
            </w:pPr>
          </w:p>
        </w:tc>
        <w:tc>
          <w:tcPr>
            <w:tcW w:w="993" w:type="dxa"/>
          </w:tcPr>
          <w:p w14:paraId="23728211" w14:textId="77777777" w:rsidR="00614805" w:rsidRPr="00614805" w:rsidRDefault="00614805" w:rsidP="00614805">
            <w:pPr>
              <w:rPr>
                <w:rFonts w:ascii="Times New Roman" w:eastAsia="新細明體" w:hAnsi="Times New Roman"/>
              </w:rPr>
            </w:pPr>
          </w:p>
        </w:tc>
      </w:tr>
    </w:tbl>
    <w:bookmarkEnd w:id="23"/>
    <w:bookmarkEnd w:id="24"/>
    <w:bookmarkEnd w:id="25"/>
    <w:p w14:paraId="79ACFA83" w14:textId="11DD16F8" w:rsidR="0027264E" w:rsidRDefault="00614805" w:rsidP="0027264E">
      <w:pPr>
        <w:spacing w:line="480" w:lineRule="auto"/>
        <w:ind w:rightChars="-24" w:right="-58"/>
        <w:jc w:val="both"/>
        <w:rPr>
          <w:szCs w:val="22"/>
        </w:rPr>
      </w:pPr>
      <w:r w:rsidRPr="00614805">
        <w:rPr>
          <w:szCs w:val="22"/>
        </w:rPr>
        <w:t>The measurements were conducted at the end of treatment if not otherwise specified. ALT, Alanine transaminase; anti‐</w:t>
      </w:r>
      <w:proofErr w:type="spellStart"/>
      <w:r w:rsidRPr="00614805">
        <w:rPr>
          <w:szCs w:val="22"/>
        </w:rPr>
        <w:t>HBe</w:t>
      </w:r>
      <w:proofErr w:type="spellEnd"/>
      <w:r w:rsidRPr="00614805">
        <w:rPr>
          <w:szCs w:val="22"/>
        </w:rPr>
        <w:t xml:space="preserve">, hepatitis B e antibody; </w:t>
      </w:r>
      <w:proofErr w:type="spellStart"/>
      <w:r w:rsidRPr="00614805">
        <w:rPr>
          <w:szCs w:val="22"/>
        </w:rPr>
        <w:t>HBcrAg</w:t>
      </w:r>
      <w:proofErr w:type="spellEnd"/>
      <w:r w:rsidRPr="00614805">
        <w:rPr>
          <w:szCs w:val="22"/>
        </w:rPr>
        <w:t>, hepatitis B core‐related antigen; HBeAg, hepatitis B e antigen; HBsAg, hepatitis B surface antigen.; HR, hazard ratio</w:t>
      </w:r>
    </w:p>
    <w:p w14:paraId="091C5DFF" w14:textId="77777777" w:rsidR="00614805" w:rsidRDefault="00614805" w:rsidP="0027264E">
      <w:pPr>
        <w:spacing w:line="480" w:lineRule="auto"/>
        <w:ind w:rightChars="-24" w:right="-58"/>
        <w:jc w:val="both"/>
        <w:rPr>
          <w:szCs w:val="22"/>
        </w:rPr>
      </w:pPr>
    </w:p>
    <w:p w14:paraId="00AF423B" w14:textId="77777777" w:rsidR="00614805" w:rsidRDefault="00614805" w:rsidP="0027264E">
      <w:pPr>
        <w:spacing w:line="480" w:lineRule="auto"/>
        <w:ind w:rightChars="-24" w:right="-58"/>
        <w:jc w:val="both"/>
        <w:rPr>
          <w:color w:val="000000"/>
          <w:szCs w:val="22"/>
        </w:rPr>
        <w:sectPr w:rsidR="00614805" w:rsidSect="00614805">
          <w:pgSz w:w="16838" w:h="11906" w:orient="landscape" w:code="9"/>
          <w:pgMar w:top="1758" w:right="1440" w:bottom="1758" w:left="1440" w:header="851" w:footer="992" w:gutter="0"/>
          <w:lnNumType w:countBy="1" w:restart="continuous"/>
          <w:cols w:space="425"/>
          <w:docGrid w:type="linesAndChars" w:linePitch="360"/>
        </w:sectPr>
      </w:pPr>
    </w:p>
    <w:p w14:paraId="6572A29B" w14:textId="3A3C00B8" w:rsidR="00614805" w:rsidRPr="00614805" w:rsidRDefault="00614805" w:rsidP="00614805">
      <w:pPr>
        <w:rPr>
          <w:szCs w:val="22"/>
        </w:rPr>
      </w:pPr>
      <w:r w:rsidRPr="00614805">
        <w:rPr>
          <w:b/>
          <w:bCs/>
          <w:szCs w:val="22"/>
        </w:rPr>
        <w:lastRenderedPageBreak/>
        <w:t xml:space="preserve">Table </w:t>
      </w:r>
      <w:r w:rsidRPr="00614805">
        <w:rPr>
          <w:rFonts w:hint="eastAsia"/>
          <w:b/>
          <w:bCs/>
          <w:szCs w:val="22"/>
        </w:rPr>
        <w:t>3</w:t>
      </w:r>
      <w:r w:rsidRPr="00614805">
        <w:rPr>
          <w:szCs w:val="22"/>
        </w:rPr>
        <w:t>.</w:t>
      </w:r>
      <w:r w:rsidRPr="00614805">
        <w:rPr>
          <w:szCs w:val="22"/>
        </w:rPr>
        <w:t xml:space="preserve"> Multivariable Cox proportional hazard model for the risk of clinical relapse and </w:t>
      </w:r>
      <w:proofErr w:type="spellStart"/>
      <w:r w:rsidRPr="00614805">
        <w:rPr>
          <w:szCs w:val="22"/>
        </w:rPr>
        <w:t>HBcrAg</w:t>
      </w:r>
      <w:proofErr w:type="spellEnd"/>
      <w:r w:rsidRPr="00614805">
        <w:rPr>
          <w:szCs w:val="22"/>
        </w:rPr>
        <w:t xml:space="preserve"> as a time-varying and categorical variable</w:t>
      </w:r>
    </w:p>
    <w:tbl>
      <w:tblPr>
        <w:tblStyle w:val="12"/>
        <w:tblW w:w="14029" w:type="dxa"/>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090"/>
        <w:gridCol w:w="2091"/>
        <w:gridCol w:w="2091"/>
        <w:gridCol w:w="2091"/>
        <w:gridCol w:w="993"/>
      </w:tblGrid>
      <w:tr w:rsidR="00614805" w:rsidRPr="00614805" w14:paraId="3117575B" w14:textId="77777777" w:rsidTr="00095FC4">
        <w:tc>
          <w:tcPr>
            <w:tcW w:w="4673" w:type="dxa"/>
          </w:tcPr>
          <w:p w14:paraId="79D51420" w14:textId="77777777" w:rsidR="00614805" w:rsidRPr="00614805" w:rsidRDefault="00614805" w:rsidP="00614805">
            <w:pPr>
              <w:rPr>
                <w:rFonts w:ascii="Times New Roman" w:eastAsia="新細明體" w:hAnsi="Times New Roman"/>
              </w:rPr>
            </w:pPr>
          </w:p>
        </w:tc>
        <w:tc>
          <w:tcPr>
            <w:tcW w:w="4181" w:type="dxa"/>
            <w:gridSpan w:val="2"/>
            <w:tcBorders>
              <w:top w:val="single" w:sz="12" w:space="0" w:color="auto"/>
              <w:bottom w:val="single" w:sz="4" w:space="0" w:color="auto"/>
            </w:tcBorders>
          </w:tcPr>
          <w:p w14:paraId="7E71FBE5"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Univariable analysis</w:t>
            </w:r>
          </w:p>
        </w:tc>
        <w:tc>
          <w:tcPr>
            <w:tcW w:w="5175" w:type="dxa"/>
            <w:gridSpan w:val="3"/>
            <w:tcBorders>
              <w:top w:val="single" w:sz="12" w:space="0" w:color="auto"/>
              <w:bottom w:val="single" w:sz="4" w:space="0" w:color="auto"/>
            </w:tcBorders>
          </w:tcPr>
          <w:p w14:paraId="75D96C29"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Multivariable analysis</w:t>
            </w:r>
          </w:p>
        </w:tc>
      </w:tr>
      <w:tr w:rsidR="00614805" w:rsidRPr="00614805" w14:paraId="0270CB9D" w14:textId="77777777" w:rsidTr="00095FC4">
        <w:tc>
          <w:tcPr>
            <w:tcW w:w="4673" w:type="dxa"/>
            <w:tcBorders>
              <w:bottom w:val="single" w:sz="4" w:space="0" w:color="auto"/>
            </w:tcBorders>
          </w:tcPr>
          <w:p w14:paraId="677F1EA4"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Variables</w:t>
            </w:r>
          </w:p>
        </w:tc>
        <w:tc>
          <w:tcPr>
            <w:tcW w:w="2090" w:type="dxa"/>
            <w:tcBorders>
              <w:top w:val="single" w:sz="4" w:space="0" w:color="auto"/>
              <w:bottom w:val="single" w:sz="4" w:space="0" w:color="auto"/>
            </w:tcBorders>
          </w:tcPr>
          <w:p w14:paraId="12C75897"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HR</w:t>
            </w:r>
          </w:p>
        </w:tc>
        <w:tc>
          <w:tcPr>
            <w:tcW w:w="2091" w:type="dxa"/>
            <w:tcBorders>
              <w:top w:val="single" w:sz="4" w:space="0" w:color="auto"/>
              <w:bottom w:val="single" w:sz="4" w:space="0" w:color="auto"/>
            </w:tcBorders>
          </w:tcPr>
          <w:p w14:paraId="049E58A0"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95% CI</w:t>
            </w:r>
          </w:p>
        </w:tc>
        <w:tc>
          <w:tcPr>
            <w:tcW w:w="2091" w:type="dxa"/>
            <w:tcBorders>
              <w:top w:val="single" w:sz="4" w:space="0" w:color="auto"/>
              <w:bottom w:val="single" w:sz="4" w:space="0" w:color="auto"/>
            </w:tcBorders>
          </w:tcPr>
          <w:p w14:paraId="49BA9557"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Adjusted HR</w:t>
            </w:r>
          </w:p>
        </w:tc>
        <w:tc>
          <w:tcPr>
            <w:tcW w:w="2091" w:type="dxa"/>
            <w:tcBorders>
              <w:top w:val="single" w:sz="4" w:space="0" w:color="auto"/>
              <w:bottom w:val="single" w:sz="4" w:space="0" w:color="auto"/>
            </w:tcBorders>
          </w:tcPr>
          <w:p w14:paraId="160012AF"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95% CI</w:t>
            </w:r>
          </w:p>
        </w:tc>
        <w:tc>
          <w:tcPr>
            <w:tcW w:w="993" w:type="dxa"/>
            <w:tcBorders>
              <w:top w:val="single" w:sz="4" w:space="0" w:color="auto"/>
              <w:bottom w:val="single" w:sz="4" w:space="0" w:color="auto"/>
            </w:tcBorders>
          </w:tcPr>
          <w:p w14:paraId="1BD98284"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i/>
                <w:iCs/>
              </w:rPr>
              <w:t>P</w:t>
            </w:r>
            <w:r w:rsidRPr="00614805">
              <w:rPr>
                <w:rFonts w:ascii="Times New Roman" w:eastAsia="新細明體" w:hAnsi="Times New Roman"/>
              </w:rPr>
              <w:t>-value</w:t>
            </w:r>
          </w:p>
        </w:tc>
      </w:tr>
      <w:tr w:rsidR="00614805" w:rsidRPr="00614805" w14:paraId="58C0F30B" w14:textId="77777777" w:rsidTr="00095FC4">
        <w:tc>
          <w:tcPr>
            <w:tcW w:w="4673" w:type="dxa"/>
            <w:tcBorders>
              <w:top w:val="single" w:sz="4" w:space="0" w:color="auto"/>
            </w:tcBorders>
          </w:tcPr>
          <w:p w14:paraId="3C3FE85A"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Age, years</w:t>
            </w:r>
          </w:p>
        </w:tc>
        <w:tc>
          <w:tcPr>
            <w:tcW w:w="2090" w:type="dxa"/>
          </w:tcPr>
          <w:p w14:paraId="7AC1A5E0"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1.00</w:t>
            </w:r>
          </w:p>
        </w:tc>
        <w:tc>
          <w:tcPr>
            <w:tcW w:w="2091" w:type="dxa"/>
          </w:tcPr>
          <w:p w14:paraId="720589C5"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0.98-1.02</w:t>
            </w:r>
          </w:p>
        </w:tc>
        <w:tc>
          <w:tcPr>
            <w:tcW w:w="2091" w:type="dxa"/>
            <w:tcBorders>
              <w:top w:val="single" w:sz="4" w:space="0" w:color="auto"/>
            </w:tcBorders>
          </w:tcPr>
          <w:p w14:paraId="59832D19" w14:textId="77777777" w:rsidR="00614805" w:rsidRPr="00614805" w:rsidRDefault="00614805" w:rsidP="00614805">
            <w:pPr>
              <w:rPr>
                <w:rFonts w:ascii="Times New Roman" w:eastAsia="新細明體" w:hAnsi="Times New Roman"/>
              </w:rPr>
            </w:pPr>
          </w:p>
        </w:tc>
        <w:tc>
          <w:tcPr>
            <w:tcW w:w="2091" w:type="dxa"/>
            <w:tcBorders>
              <w:top w:val="single" w:sz="4" w:space="0" w:color="auto"/>
            </w:tcBorders>
          </w:tcPr>
          <w:p w14:paraId="1865EC87" w14:textId="77777777" w:rsidR="00614805" w:rsidRPr="00614805" w:rsidRDefault="00614805" w:rsidP="00614805">
            <w:pPr>
              <w:rPr>
                <w:rFonts w:ascii="Times New Roman" w:eastAsia="新細明體" w:hAnsi="Times New Roman"/>
              </w:rPr>
            </w:pPr>
          </w:p>
        </w:tc>
        <w:tc>
          <w:tcPr>
            <w:tcW w:w="993" w:type="dxa"/>
            <w:tcBorders>
              <w:top w:val="single" w:sz="4" w:space="0" w:color="auto"/>
            </w:tcBorders>
          </w:tcPr>
          <w:p w14:paraId="192FC5B8" w14:textId="77777777" w:rsidR="00614805" w:rsidRPr="00614805" w:rsidRDefault="00614805" w:rsidP="00614805">
            <w:pPr>
              <w:rPr>
                <w:rFonts w:ascii="Times New Roman" w:eastAsia="新細明體" w:hAnsi="Times New Roman"/>
              </w:rPr>
            </w:pPr>
          </w:p>
        </w:tc>
      </w:tr>
      <w:tr w:rsidR="00614805" w:rsidRPr="00614805" w14:paraId="727CEA0C" w14:textId="77777777" w:rsidTr="00095FC4">
        <w:tc>
          <w:tcPr>
            <w:tcW w:w="4673" w:type="dxa"/>
          </w:tcPr>
          <w:p w14:paraId="7D38C69B"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Male sex</w:t>
            </w:r>
          </w:p>
        </w:tc>
        <w:tc>
          <w:tcPr>
            <w:tcW w:w="2090" w:type="dxa"/>
          </w:tcPr>
          <w:p w14:paraId="062831CE"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2.16</w:t>
            </w:r>
          </w:p>
        </w:tc>
        <w:tc>
          <w:tcPr>
            <w:tcW w:w="2091" w:type="dxa"/>
          </w:tcPr>
          <w:p w14:paraId="4F0B6B4D"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1.25-3.73</w:t>
            </w:r>
          </w:p>
        </w:tc>
        <w:tc>
          <w:tcPr>
            <w:tcW w:w="2091" w:type="dxa"/>
          </w:tcPr>
          <w:p w14:paraId="04203D0C"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2.63</w:t>
            </w:r>
          </w:p>
        </w:tc>
        <w:tc>
          <w:tcPr>
            <w:tcW w:w="2091" w:type="dxa"/>
          </w:tcPr>
          <w:p w14:paraId="63D2A131"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1.13-6.13</w:t>
            </w:r>
          </w:p>
        </w:tc>
        <w:tc>
          <w:tcPr>
            <w:tcW w:w="993" w:type="dxa"/>
          </w:tcPr>
          <w:p w14:paraId="227EB89B"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0.025</w:t>
            </w:r>
          </w:p>
        </w:tc>
      </w:tr>
      <w:tr w:rsidR="00614805" w:rsidRPr="00614805" w14:paraId="4F24E27D" w14:textId="77777777" w:rsidTr="00095FC4">
        <w:tc>
          <w:tcPr>
            <w:tcW w:w="4673" w:type="dxa"/>
          </w:tcPr>
          <w:p w14:paraId="3D2BC319"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EOT positive anti‐</w:t>
            </w:r>
            <w:proofErr w:type="spellStart"/>
            <w:r w:rsidRPr="00614805">
              <w:rPr>
                <w:rFonts w:ascii="Times New Roman" w:eastAsia="新細明體" w:hAnsi="Times New Roman"/>
              </w:rPr>
              <w:t>HBe</w:t>
            </w:r>
            <w:proofErr w:type="spellEnd"/>
          </w:p>
        </w:tc>
        <w:tc>
          <w:tcPr>
            <w:tcW w:w="2090" w:type="dxa"/>
          </w:tcPr>
          <w:p w14:paraId="52E86FEC"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0.71</w:t>
            </w:r>
          </w:p>
        </w:tc>
        <w:tc>
          <w:tcPr>
            <w:tcW w:w="2091" w:type="dxa"/>
          </w:tcPr>
          <w:p w14:paraId="3A1A8268"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0.35-1.46</w:t>
            </w:r>
          </w:p>
        </w:tc>
        <w:tc>
          <w:tcPr>
            <w:tcW w:w="2091" w:type="dxa"/>
          </w:tcPr>
          <w:p w14:paraId="2609A92C" w14:textId="77777777" w:rsidR="00614805" w:rsidRPr="00614805" w:rsidRDefault="00614805" w:rsidP="00614805">
            <w:pPr>
              <w:rPr>
                <w:rFonts w:ascii="Times New Roman" w:eastAsia="新細明體" w:hAnsi="Times New Roman"/>
              </w:rPr>
            </w:pPr>
          </w:p>
        </w:tc>
        <w:tc>
          <w:tcPr>
            <w:tcW w:w="2091" w:type="dxa"/>
          </w:tcPr>
          <w:p w14:paraId="5BABCB35" w14:textId="77777777" w:rsidR="00614805" w:rsidRPr="00614805" w:rsidRDefault="00614805" w:rsidP="00614805">
            <w:pPr>
              <w:rPr>
                <w:rFonts w:ascii="Times New Roman" w:eastAsia="新細明體" w:hAnsi="Times New Roman"/>
                <w:highlight w:val="yellow"/>
              </w:rPr>
            </w:pPr>
          </w:p>
        </w:tc>
        <w:tc>
          <w:tcPr>
            <w:tcW w:w="993" w:type="dxa"/>
          </w:tcPr>
          <w:p w14:paraId="689FA25E" w14:textId="77777777" w:rsidR="00614805" w:rsidRPr="00614805" w:rsidRDefault="00614805" w:rsidP="00614805">
            <w:pPr>
              <w:rPr>
                <w:rFonts w:ascii="Times New Roman" w:eastAsia="新細明體" w:hAnsi="Times New Roman"/>
                <w:highlight w:val="yellow"/>
              </w:rPr>
            </w:pPr>
          </w:p>
        </w:tc>
      </w:tr>
      <w:tr w:rsidR="00614805" w:rsidRPr="00614805" w14:paraId="16D293E3" w14:textId="77777777" w:rsidTr="00095FC4">
        <w:tc>
          <w:tcPr>
            <w:tcW w:w="4673" w:type="dxa"/>
          </w:tcPr>
          <w:p w14:paraId="5511B64B"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EOT HBsAg, log IU/mL</w:t>
            </w:r>
          </w:p>
        </w:tc>
        <w:tc>
          <w:tcPr>
            <w:tcW w:w="2090" w:type="dxa"/>
          </w:tcPr>
          <w:p w14:paraId="238B2FC4"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1.84</w:t>
            </w:r>
          </w:p>
        </w:tc>
        <w:tc>
          <w:tcPr>
            <w:tcW w:w="2091" w:type="dxa"/>
          </w:tcPr>
          <w:p w14:paraId="2DB447D9"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1.47-2.30</w:t>
            </w:r>
          </w:p>
        </w:tc>
        <w:tc>
          <w:tcPr>
            <w:tcW w:w="2091" w:type="dxa"/>
          </w:tcPr>
          <w:p w14:paraId="78351AE8" w14:textId="77777777" w:rsidR="00614805" w:rsidRPr="00614805" w:rsidRDefault="00614805" w:rsidP="00614805">
            <w:pPr>
              <w:rPr>
                <w:rFonts w:ascii="Times New Roman" w:eastAsia="新細明體" w:hAnsi="Times New Roman"/>
              </w:rPr>
            </w:pPr>
          </w:p>
        </w:tc>
        <w:tc>
          <w:tcPr>
            <w:tcW w:w="2091" w:type="dxa"/>
          </w:tcPr>
          <w:p w14:paraId="285636A3" w14:textId="77777777" w:rsidR="00614805" w:rsidRPr="00614805" w:rsidRDefault="00614805" w:rsidP="00614805">
            <w:pPr>
              <w:rPr>
                <w:rFonts w:ascii="Times New Roman" w:eastAsia="新細明體" w:hAnsi="Times New Roman"/>
                <w:highlight w:val="yellow"/>
              </w:rPr>
            </w:pPr>
          </w:p>
        </w:tc>
        <w:tc>
          <w:tcPr>
            <w:tcW w:w="993" w:type="dxa"/>
          </w:tcPr>
          <w:p w14:paraId="0E7AC48A" w14:textId="77777777" w:rsidR="00614805" w:rsidRPr="00614805" w:rsidRDefault="00614805" w:rsidP="00614805">
            <w:pPr>
              <w:rPr>
                <w:rFonts w:ascii="Times New Roman" w:eastAsia="新細明體" w:hAnsi="Times New Roman"/>
                <w:highlight w:val="yellow"/>
              </w:rPr>
            </w:pPr>
          </w:p>
        </w:tc>
      </w:tr>
      <w:tr w:rsidR="00614805" w:rsidRPr="00614805" w14:paraId="44455E40" w14:textId="77777777" w:rsidTr="00095FC4">
        <w:tc>
          <w:tcPr>
            <w:tcW w:w="4673" w:type="dxa"/>
          </w:tcPr>
          <w:p w14:paraId="27803652"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 xml:space="preserve">EOT </w:t>
            </w:r>
            <w:proofErr w:type="spellStart"/>
            <w:r w:rsidRPr="00614805">
              <w:rPr>
                <w:rFonts w:ascii="Times New Roman" w:eastAsia="新細明體" w:hAnsi="Times New Roman"/>
              </w:rPr>
              <w:t>HBcrAg</w:t>
            </w:r>
            <w:proofErr w:type="spellEnd"/>
            <w:r w:rsidRPr="00614805">
              <w:rPr>
                <w:rFonts w:ascii="Times New Roman" w:eastAsia="新細明體" w:hAnsi="Times New Roman"/>
              </w:rPr>
              <w:t>, log U/mL</w:t>
            </w:r>
          </w:p>
        </w:tc>
        <w:tc>
          <w:tcPr>
            <w:tcW w:w="2090" w:type="dxa"/>
          </w:tcPr>
          <w:p w14:paraId="7CB0ACDF"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1.30</w:t>
            </w:r>
          </w:p>
        </w:tc>
        <w:tc>
          <w:tcPr>
            <w:tcW w:w="2091" w:type="dxa"/>
          </w:tcPr>
          <w:p w14:paraId="20E4D2FC"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1.10-1.53</w:t>
            </w:r>
          </w:p>
        </w:tc>
        <w:tc>
          <w:tcPr>
            <w:tcW w:w="2091" w:type="dxa"/>
          </w:tcPr>
          <w:p w14:paraId="057EDDA6" w14:textId="77777777" w:rsidR="00614805" w:rsidRPr="00614805" w:rsidRDefault="00614805" w:rsidP="00614805">
            <w:pPr>
              <w:rPr>
                <w:rFonts w:ascii="Times New Roman" w:eastAsia="新細明體" w:hAnsi="Times New Roman"/>
                <w:szCs w:val="22"/>
              </w:rPr>
            </w:pPr>
          </w:p>
        </w:tc>
        <w:tc>
          <w:tcPr>
            <w:tcW w:w="2091" w:type="dxa"/>
          </w:tcPr>
          <w:p w14:paraId="6F09E372" w14:textId="77777777" w:rsidR="00614805" w:rsidRPr="00614805" w:rsidRDefault="00614805" w:rsidP="00614805">
            <w:pPr>
              <w:rPr>
                <w:rFonts w:ascii="Times New Roman" w:eastAsia="新細明體" w:hAnsi="Times New Roman"/>
                <w:szCs w:val="22"/>
              </w:rPr>
            </w:pPr>
          </w:p>
        </w:tc>
        <w:tc>
          <w:tcPr>
            <w:tcW w:w="993" w:type="dxa"/>
          </w:tcPr>
          <w:p w14:paraId="69678AD1" w14:textId="77777777" w:rsidR="00614805" w:rsidRPr="00614805" w:rsidRDefault="00614805" w:rsidP="00614805">
            <w:pPr>
              <w:rPr>
                <w:rFonts w:ascii="Times New Roman" w:eastAsia="新細明體" w:hAnsi="Times New Roman"/>
                <w:szCs w:val="22"/>
              </w:rPr>
            </w:pPr>
          </w:p>
        </w:tc>
      </w:tr>
      <w:tr w:rsidR="00614805" w:rsidRPr="00614805" w14:paraId="0C60EF55" w14:textId="77777777" w:rsidTr="00095FC4">
        <w:tc>
          <w:tcPr>
            <w:tcW w:w="4673" w:type="dxa"/>
          </w:tcPr>
          <w:p w14:paraId="343D8D6D" w14:textId="77777777" w:rsidR="00614805" w:rsidRPr="00614805" w:rsidRDefault="00614805" w:rsidP="00614805">
            <w:pPr>
              <w:rPr>
                <w:rFonts w:ascii="Times New Roman" w:eastAsia="新細明體" w:hAnsi="Times New Roman"/>
              </w:rPr>
            </w:pPr>
            <w:proofErr w:type="spellStart"/>
            <w:r w:rsidRPr="00614805">
              <w:rPr>
                <w:rFonts w:ascii="Times New Roman" w:eastAsia="新細明體" w:hAnsi="Times New Roman"/>
              </w:rPr>
              <w:t>HBcrAg</w:t>
            </w:r>
            <w:proofErr w:type="spellEnd"/>
            <w:r w:rsidRPr="00614805">
              <w:rPr>
                <w:rFonts w:ascii="Times New Roman" w:eastAsia="新細明體" w:hAnsi="Times New Roman"/>
              </w:rPr>
              <w:t xml:space="preserve"> &lt; 1000 U/mL (vs ≥ 1000 U/mL)</w:t>
            </w:r>
            <w:r w:rsidRPr="00614805">
              <w:rPr>
                <w:rFonts w:ascii="Times New Roman" w:eastAsia="新細明體" w:hAnsi="Times New Roman"/>
                <w:vertAlign w:val="superscript"/>
              </w:rPr>
              <w:t>†</w:t>
            </w:r>
          </w:p>
        </w:tc>
        <w:tc>
          <w:tcPr>
            <w:tcW w:w="2090" w:type="dxa"/>
          </w:tcPr>
          <w:p w14:paraId="38674FB6"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0.33</w:t>
            </w:r>
          </w:p>
        </w:tc>
        <w:tc>
          <w:tcPr>
            <w:tcW w:w="2091" w:type="dxa"/>
          </w:tcPr>
          <w:p w14:paraId="6E69CD09"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0.18-0.92</w:t>
            </w:r>
          </w:p>
        </w:tc>
        <w:tc>
          <w:tcPr>
            <w:tcW w:w="2091" w:type="dxa"/>
          </w:tcPr>
          <w:p w14:paraId="6BEBBCE4" w14:textId="77777777" w:rsidR="00614805" w:rsidRPr="00614805" w:rsidRDefault="00614805" w:rsidP="00614805">
            <w:pPr>
              <w:rPr>
                <w:rFonts w:ascii="Times New Roman" w:eastAsia="新細明體" w:hAnsi="Times New Roman"/>
              </w:rPr>
            </w:pPr>
            <w:r w:rsidRPr="00614805">
              <w:rPr>
                <w:rFonts w:ascii="Times New Roman" w:eastAsiaTheme="minorEastAsia" w:hAnsi="Times New Roman"/>
                <w:szCs w:val="22"/>
              </w:rPr>
              <w:t>0.31</w:t>
            </w:r>
          </w:p>
        </w:tc>
        <w:tc>
          <w:tcPr>
            <w:tcW w:w="2091" w:type="dxa"/>
          </w:tcPr>
          <w:p w14:paraId="4DBA62F3" w14:textId="77777777" w:rsidR="00614805" w:rsidRPr="00614805" w:rsidRDefault="00614805" w:rsidP="00614805">
            <w:pPr>
              <w:rPr>
                <w:rFonts w:ascii="Times New Roman" w:eastAsia="新細明體" w:hAnsi="Times New Roman"/>
              </w:rPr>
            </w:pPr>
            <w:r w:rsidRPr="00614805">
              <w:rPr>
                <w:rFonts w:ascii="Times New Roman" w:eastAsiaTheme="minorEastAsia" w:hAnsi="Times New Roman"/>
                <w:szCs w:val="22"/>
              </w:rPr>
              <w:t>0.17</w:t>
            </w:r>
            <w:r w:rsidRPr="00614805">
              <w:rPr>
                <w:rFonts w:ascii="Times New Roman" w:hAnsi="Times New Roman"/>
                <w:szCs w:val="22"/>
              </w:rPr>
              <w:t>-</w:t>
            </w:r>
            <w:r w:rsidRPr="00614805">
              <w:rPr>
                <w:rFonts w:ascii="Times New Roman" w:eastAsiaTheme="minorEastAsia" w:hAnsi="Times New Roman"/>
                <w:szCs w:val="22"/>
              </w:rPr>
              <w:t>0.57</w:t>
            </w:r>
          </w:p>
        </w:tc>
        <w:tc>
          <w:tcPr>
            <w:tcW w:w="993" w:type="dxa"/>
          </w:tcPr>
          <w:p w14:paraId="0272E251" w14:textId="77777777" w:rsidR="00614805" w:rsidRPr="00614805" w:rsidRDefault="00614805" w:rsidP="00614805">
            <w:pPr>
              <w:rPr>
                <w:rFonts w:ascii="Times New Roman" w:eastAsia="新細明體" w:hAnsi="Times New Roman"/>
              </w:rPr>
            </w:pPr>
            <w:r w:rsidRPr="00614805">
              <w:rPr>
                <w:rFonts w:ascii="Times New Roman" w:hAnsi="Times New Roman"/>
                <w:szCs w:val="22"/>
              </w:rPr>
              <w:t>&lt;0.001</w:t>
            </w:r>
          </w:p>
        </w:tc>
      </w:tr>
      <w:tr w:rsidR="00614805" w:rsidRPr="00614805" w14:paraId="7CB8D844" w14:textId="77777777" w:rsidTr="00095FC4">
        <w:tc>
          <w:tcPr>
            <w:tcW w:w="4673" w:type="dxa"/>
          </w:tcPr>
          <w:p w14:paraId="7DCA424E"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EOT ALT, U/L</w:t>
            </w:r>
          </w:p>
        </w:tc>
        <w:tc>
          <w:tcPr>
            <w:tcW w:w="2090" w:type="dxa"/>
          </w:tcPr>
          <w:p w14:paraId="535EA489"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1.00</w:t>
            </w:r>
          </w:p>
        </w:tc>
        <w:tc>
          <w:tcPr>
            <w:tcW w:w="2091" w:type="dxa"/>
          </w:tcPr>
          <w:p w14:paraId="70DAF036"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1.00-1.01</w:t>
            </w:r>
          </w:p>
        </w:tc>
        <w:tc>
          <w:tcPr>
            <w:tcW w:w="2091" w:type="dxa"/>
          </w:tcPr>
          <w:p w14:paraId="1A3E3CA8" w14:textId="77777777" w:rsidR="00614805" w:rsidRPr="00614805" w:rsidRDefault="00614805" w:rsidP="00614805">
            <w:pPr>
              <w:rPr>
                <w:rFonts w:ascii="Times New Roman" w:eastAsia="新細明體" w:hAnsi="Times New Roman"/>
              </w:rPr>
            </w:pPr>
          </w:p>
        </w:tc>
        <w:tc>
          <w:tcPr>
            <w:tcW w:w="2091" w:type="dxa"/>
          </w:tcPr>
          <w:p w14:paraId="60A9C861" w14:textId="77777777" w:rsidR="00614805" w:rsidRPr="00614805" w:rsidRDefault="00614805" w:rsidP="00614805">
            <w:pPr>
              <w:rPr>
                <w:rFonts w:ascii="Times New Roman" w:eastAsia="新細明體" w:hAnsi="Times New Roman"/>
              </w:rPr>
            </w:pPr>
          </w:p>
        </w:tc>
        <w:tc>
          <w:tcPr>
            <w:tcW w:w="993" w:type="dxa"/>
          </w:tcPr>
          <w:p w14:paraId="6C7918C9" w14:textId="77777777" w:rsidR="00614805" w:rsidRPr="00614805" w:rsidRDefault="00614805" w:rsidP="00614805">
            <w:pPr>
              <w:rPr>
                <w:rFonts w:ascii="Times New Roman" w:eastAsia="新細明體" w:hAnsi="Times New Roman"/>
              </w:rPr>
            </w:pPr>
          </w:p>
        </w:tc>
      </w:tr>
      <w:tr w:rsidR="00614805" w:rsidRPr="00614805" w14:paraId="3B60A3CF" w14:textId="77777777" w:rsidTr="00095FC4">
        <w:tc>
          <w:tcPr>
            <w:tcW w:w="4673" w:type="dxa"/>
          </w:tcPr>
          <w:p w14:paraId="5A4DB5A4"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Tenofovir use (vs entecavir)</w:t>
            </w:r>
          </w:p>
        </w:tc>
        <w:tc>
          <w:tcPr>
            <w:tcW w:w="2090" w:type="dxa"/>
          </w:tcPr>
          <w:p w14:paraId="723E480A"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0.80</w:t>
            </w:r>
          </w:p>
        </w:tc>
        <w:tc>
          <w:tcPr>
            <w:tcW w:w="2091" w:type="dxa"/>
          </w:tcPr>
          <w:p w14:paraId="5A5EA450"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0.54-1.18</w:t>
            </w:r>
          </w:p>
        </w:tc>
        <w:tc>
          <w:tcPr>
            <w:tcW w:w="2091" w:type="dxa"/>
          </w:tcPr>
          <w:p w14:paraId="7BD2747D" w14:textId="77777777" w:rsidR="00614805" w:rsidRPr="00614805" w:rsidRDefault="00614805" w:rsidP="00614805">
            <w:pPr>
              <w:rPr>
                <w:rFonts w:ascii="Times New Roman" w:eastAsia="新細明體" w:hAnsi="Times New Roman"/>
              </w:rPr>
            </w:pPr>
          </w:p>
        </w:tc>
        <w:tc>
          <w:tcPr>
            <w:tcW w:w="2091" w:type="dxa"/>
          </w:tcPr>
          <w:p w14:paraId="53CBE109" w14:textId="77777777" w:rsidR="00614805" w:rsidRPr="00614805" w:rsidRDefault="00614805" w:rsidP="00614805">
            <w:pPr>
              <w:rPr>
                <w:rFonts w:ascii="Times New Roman" w:eastAsia="新細明體" w:hAnsi="Times New Roman"/>
              </w:rPr>
            </w:pPr>
          </w:p>
        </w:tc>
        <w:tc>
          <w:tcPr>
            <w:tcW w:w="993" w:type="dxa"/>
          </w:tcPr>
          <w:p w14:paraId="4F84F966" w14:textId="77777777" w:rsidR="00614805" w:rsidRPr="00614805" w:rsidRDefault="00614805" w:rsidP="00614805">
            <w:pPr>
              <w:rPr>
                <w:rFonts w:ascii="Times New Roman" w:eastAsia="新細明體" w:hAnsi="Times New Roman"/>
              </w:rPr>
            </w:pPr>
          </w:p>
        </w:tc>
      </w:tr>
      <w:tr w:rsidR="00614805" w:rsidRPr="00614805" w14:paraId="2288689E" w14:textId="77777777" w:rsidTr="00095FC4">
        <w:tc>
          <w:tcPr>
            <w:tcW w:w="4673" w:type="dxa"/>
          </w:tcPr>
          <w:p w14:paraId="0579094E"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Duration on therapy, months</w:t>
            </w:r>
          </w:p>
        </w:tc>
        <w:tc>
          <w:tcPr>
            <w:tcW w:w="2090" w:type="dxa"/>
          </w:tcPr>
          <w:p w14:paraId="0F66A54B"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0.99</w:t>
            </w:r>
          </w:p>
        </w:tc>
        <w:tc>
          <w:tcPr>
            <w:tcW w:w="2091" w:type="dxa"/>
          </w:tcPr>
          <w:p w14:paraId="6FDFEB4F"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0.97-1.00</w:t>
            </w:r>
          </w:p>
        </w:tc>
        <w:tc>
          <w:tcPr>
            <w:tcW w:w="2091" w:type="dxa"/>
          </w:tcPr>
          <w:p w14:paraId="7C533752" w14:textId="77777777" w:rsidR="00614805" w:rsidRPr="00614805" w:rsidRDefault="00614805" w:rsidP="00614805">
            <w:pPr>
              <w:rPr>
                <w:rFonts w:ascii="Times New Roman" w:eastAsia="新細明體" w:hAnsi="Times New Roman"/>
              </w:rPr>
            </w:pPr>
          </w:p>
        </w:tc>
        <w:tc>
          <w:tcPr>
            <w:tcW w:w="2091" w:type="dxa"/>
          </w:tcPr>
          <w:p w14:paraId="1F7E4E49" w14:textId="77777777" w:rsidR="00614805" w:rsidRPr="00614805" w:rsidRDefault="00614805" w:rsidP="00614805">
            <w:pPr>
              <w:rPr>
                <w:rFonts w:ascii="Times New Roman" w:eastAsia="新細明體" w:hAnsi="Times New Roman"/>
              </w:rPr>
            </w:pPr>
          </w:p>
        </w:tc>
        <w:tc>
          <w:tcPr>
            <w:tcW w:w="993" w:type="dxa"/>
          </w:tcPr>
          <w:p w14:paraId="4B8E05FC" w14:textId="77777777" w:rsidR="00614805" w:rsidRPr="00614805" w:rsidRDefault="00614805" w:rsidP="00614805">
            <w:pPr>
              <w:rPr>
                <w:rFonts w:ascii="Times New Roman" w:eastAsia="新細明體" w:hAnsi="Times New Roman"/>
              </w:rPr>
            </w:pPr>
          </w:p>
        </w:tc>
      </w:tr>
      <w:tr w:rsidR="00614805" w:rsidRPr="00614805" w14:paraId="41FDA552" w14:textId="77777777" w:rsidTr="00095FC4">
        <w:tc>
          <w:tcPr>
            <w:tcW w:w="4673" w:type="dxa"/>
          </w:tcPr>
          <w:p w14:paraId="66224798"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Pre‐treatment positive HBeAg</w:t>
            </w:r>
          </w:p>
        </w:tc>
        <w:tc>
          <w:tcPr>
            <w:tcW w:w="2090" w:type="dxa"/>
          </w:tcPr>
          <w:p w14:paraId="4C217606"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1.29</w:t>
            </w:r>
          </w:p>
        </w:tc>
        <w:tc>
          <w:tcPr>
            <w:tcW w:w="2091" w:type="dxa"/>
          </w:tcPr>
          <w:p w14:paraId="3AB99BEC"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0.80-2.08</w:t>
            </w:r>
          </w:p>
        </w:tc>
        <w:tc>
          <w:tcPr>
            <w:tcW w:w="2091" w:type="dxa"/>
          </w:tcPr>
          <w:p w14:paraId="7D9F7B1B" w14:textId="77777777" w:rsidR="00614805" w:rsidRPr="00614805" w:rsidRDefault="00614805" w:rsidP="00614805">
            <w:pPr>
              <w:rPr>
                <w:rFonts w:ascii="Times New Roman" w:eastAsia="新細明體" w:hAnsi="Times New Roman"/>
              </w:rPr>
            </w:pPr>
          </w:p>
        </w:tc>
        <w:tc>
          <w:tcPr>
            <w:tcW w:w="2091" w:type="dxa"/>
          </w:tcPr>
          <w:p w14:paraId="6A42BADC" w14:textId="77777777" w:rsidR="00614805" w:rsidRPr="00614805" w:rsidRDefault="00614805" w:rsidP="00614805">
            <w:pPr>
              <w:rPr>
                <w:rFonts w:ascii="Times New Roman" w:eastAsia="新細明體" w:hAnsi="Times New Roman"/>
              </w:rPr>
            </w:pPr>
          </w:p>
        </w:tc>
        <w:tc>
          <w:tcPr>
            <w:tcW w:w="993" w:type="dxa"/>
          </w:tcPr>
          <w:p w14:paraId="1D077419" w14:textId="77777777" w:rsidR="00614805" w:rsidRPr="00614805" w:rsidRDefault="00614805" w:rsidP="00614805">
            <w:pPr>
              <w:rPr>
                <w:rFonts w:ascii="Times New Roman" w:eastAsia="新細明體" w:hAnsi="Times New Roman"/>
              </w:rPr>
            </w:pPr>
          </w:p>
        </w:tc>
      </w:tr>
      <w:tr w:rsidR="00614805" w:rsidRPr="00614805" w14:paraId="76C3B9FC" w14:textId="77777777" w:rsidTr="00095FC4">
        <w:tc>
          <w:tcPr>
            <w:tcW w:w="4673" w:type="dxa"/>
          </w:tcPr>
          <w:p w14:paraId="3ABC0425"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Pre‐treatment positive anti‐</w:t>
            </w:r>
            <w:proofErr w:type="spellStart"/>
            <w:r w:rsidRPr="00614805">
              <w:rPr>
                <w:rFonts w:ascii="Times New Roman" w:eastAsia="新細明體" w:hAnsi="Times New Roman"/>
              </w:rPr>
              <w:t>HBe</w:t>
            </w:r>
            <w:proofErr w:type="spellEnd"/>
          </w:p>
        </w:tc>
        <w:tc>
          <w:tcPr>
            <w:tcW w:w="2090" w:type="dxa"/>
          </w:tcPr>
          <w:p w14:paraId="59F7D29C"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0.83</w:t>
            </w:r>
          </w:p>
        </w:tc>
        <w:tc>
          <w:tcPr>
            <w:tcW w:w="2091" w:type="dxa"/>
          </w:tcPr>
          <w:p w14:paraId="13579C57" w14:textId="77777777" w:rsidR="00614805" w:rsidRPr="00614805" w:rsidRDefault="00614805" w:rsidP="00614805">
            <w:pPr>
              <w:rPr>
                <w:rFonts w:ascii="Times New Roman" w:eastAsia="新細明體" w:hAnsi="Times New Roman"/>
              </w:rPr>
            </w:pPr>
            <w:r w:rsidRPr="00614805">
              <w:rPr>
                <w:rFonts w:ascii="Times New Roman" w:eastAsia="新細明體" w:hAnsi="Times New Roman"/>
              </w:rPr>
              <w:t>0.52-1.32</w:t>
            </w:r>
          </w:p>
        </w:tc>
        <w:tc>
          <w:tcPr>
            <w:tcW w:w="2091" w:type="dxa"/>
          </w:tcPr>
          <w:p w14:paraId="23157E23" w14:textId="77777777" w:rsidR="00614805" w:rsidRPr="00614805" w:rsidRDefault="00614805" w:rsidP="00614805">
            <w:pPr>
              <w:rPr>
                <w:rFonts w:ascii="Times New Roman" w:eastAsia="新細明體" w:hAnsi="Times New Roman"/>
              </w:rPr>
            </w:pPr>
          </w:p>
        </w:tc>
        <w:tc>
          <w:tcPr>
            <w:tcW w:w="2091" w:type="dxa"/>
          </w:tcPr>
          <w:p w14:paraId="0A94D7F7" w14:textId="77777777" w:rsidR="00614805" w:rsidRPr="00614805" w:rsidRDefault="00614805" w:rsidP="00614805">
            <w:pPr>
              <w:rPr>
                <w:rFonts w:ascii="Times New Roman" w:eastAsia="新細明體" w:hAnsi="Times New Roman"/>
              </w:rPr>
            </w:pPr>
          </w:p>
        </w:tc>
        <w:tc>
          <w:tcPr>
            <w:tcW w:w="993" w:type="dxa"/>
          </w:tcPr>
          <w:p w14:paraId="0B2DCAA4" w14:textId="77777777" w:rsidR="00614805" w:rsidRPr="00614805" w:rsidRDefault="00614805" w:rsidP="00614805">
            <w:pPr>
              <w:rPr>
                <w:rFonts w:ascii="Times New Roman" w:eastAsia="新細明體" w:hAnsi="Times New Roman"/>
              </w:rPr>
            </w:pPr>
          </w:p>
        </w:tc>
      </w:tr>
    </w:tbl>
    <w:p w14:paraId="4DC2F288" w14:textId="77777777" w:rsidR="00614805" w:rsidRPr="00614805" w:rsidRDefault="00614805" w:rsidP="00614805">
      <w:pPr>
        <w:rPr>
          <w:szCs w:val="22"/>
        </w:rPr>
      </w:pPr>
      <w:r w:rsidRPr="00614805">
        <w:rPr>
          <w:szCs w:val="22"/>
        </w:rPr>
        <w:t>The measurements were conducted at the end of treatment if not otherwise specified. ALT, Alanine transaminase; anti‐</w:t>
      </w:r>
      <w:proofErr w:type="spellStart"/>
      <w:r w:rsidRPr="00614805">
        <w:rPr>
          <w:szCs w:val="22"/>
        </w:rPr>
        <w:t>HBe</w:t>
      </w:r>
      <w:proofErr w:type="spellEnd"/>
      <w:r w:rsidRPr="00614805">
        <w:rPr>
          <w:szCs w:val="22"/>
        </w:rPr>
        <w:t xml:space="preserve">, hepatitis B e antibody; </w:t>
      </w:r>
      <w:proofErr w:type="spellStart"/>
      <w:r w:rsidRPr="00614805">
        <w:rPr>
          <w:szCs w:val="22"/>
        </w:rPr>
        <w:t>HBcrAg</w:t>
      </w:r>
      <w:proofErr w:type="spellEnd"/>
      <w:r w:rsidRPr="00614805">
        <w:rPr>
          <w:szCs w:val="22"/>
        </w:rPr>
        <w:t xml:space="preserve">, hepatitis B core‐related antigen; HBeAg, hepatitis B e antigen; HBsAg, hepatitis B surface antigen.; HR, hazard ratio. </w:t>
      </w:r>
      <w:r w:rsidRPr="00614805">
        <w:rPr>
          <w:szCs w:val="22"/>
          <w:vertAlign w:val="superscript"/>
        </w:rPr>
        <w:t>†</w:t>
      </w:r>
      <w:r w:rsidRPr="00614805">
        <w:rPr>
          <w:szCs w:val="22"/>
        </w:rPr>
        <w:t>As a time varying variable</w:t>
      </w:r>
    </w:p>
    <w:p w14:paraId="4ADF1A28" w14:textId="77777777" w:rsidR="00614805" w:rsidRPr="00614805" w:rsidRDefault="00614805" w:rsidP="00614805">
      <w:pPr>
        <w:rPr>
          <w:szCs w:val="22"/>
        </w:rPr>
      </w:pPr>
    </w:p>
    <w:p w14:paraId="0962ACF0" w14:textId="77777777" w:rsidR="00614805" w:rsidRPr="00614805" w:rsidRDefault="00614805" w:rsidP="0027264E">
      <w:pPr>
        <w:spacing w:line="480" w:lineRule="auto"/>
        <w:ind w:rightChars="-24" w:right="-58"/>
        <w:jc w:val="both"/>
        <w:rPr>
          <w:color w:val="000000"/>
          <w:szCs w:val="22"/>
        </w:rPr>
      </w:pPr>
    </w:p>
    <w:p w14:paraId="0D871950" w14:textId="77777777" w:rsidR="0027264E" w:rsidRDefault="0027264E" w:rsidP="0027264E">
      <w:pPr>
        <w:spacing w:line="480" w:lineRule="auto"/>
        <w:ind w:rightChars="-24" w:right="-58"/>
        <w:jc w:val="both"/>
        <w:sectPr w:rsidR="0027264E" w:rsidSect="00614805">
          <w:pgSz w:w="16838" w:h="11906" w:orient="landscape" w:code="9"/>
          <w:pgMar w:top="1758" w:right="1440" w:bottom="1758" w:left="1440" w:header="851" w:footer="992" w:gutter="0"/>
          <w:lnNumType w:countBy="1" w:restart="continuous"/>
          <w:cols w:space="425"/>
          <w:docGrid w:type="linesAndChars" w:linePitch="360"/>
        </w:sectPr>
      </w:pPr>
    </w:p>
    <w:p w14:paraId="3F44B8E4" w14:textId="246145B6" w:rsidR="0027264E" w:rsidRPr="0027264E" w:rsidRDefault="0027264E" w:rsidP="0027264E">
      <w:pPr>
        <w:spacing w:line="480" w:lineRule="auto"/>
        <w:ind w:rightChars="-24" w:right="-58"/>
        <w:jc w:val="both"/>
        <w:rPr>
          <w:b/>
          <w:bCs/>
        </w:rPr>
      </w:pPr>
      <w:r w:rsidRPr="0027264E">
        <w:rPr>
          <w:rFonts w:hint="eastAsia"/>
          <w:b/>
          <w:bCs/>
        </w:rPr>
        <w:lastRenderedPageBreak/>
        <w:t>F</w:t>
      </w:r>
      <w:r w:rsidRPr="0027264E">
        <w:rPr>
          <w:b/>
          <w:bCs/>
        </w:rPr>
        <w:t xml:space="preserve">IGURES </w:t>
      </w:r>
    </w:p>
    <w:p w14:paraId="1DCDD509" w14:textId="1A02A131" w:rsidR="0027264E" w:rsidRDefault="00676CCF" w:rsidP="0027264E">
      <w:pPr>
        <w:spacing w:line="480" w:lineRule="auto"/>
        <w:ind w:rightChars="-24" w:right="-58"/>
        <w:jc w:val="both"/>
      </w:pPr>
      <w:r>
        <w:rPr>
          <w:rFonts w:hint="eastAsia"/>
          <w:noProof/>
        </w:rPr>
        <w:drawing>
          <wp:inline distT="0" distB="0" distL="0" distR="0" wp14:anchorId="71EE8A5F" wp14:editId="7B51B5DD">
            <wp:extent cx="5111496" cy="3675888"/>
            <wp:effectExtent l="0" t="0" r="0" b="1270"/>
            <wp:docPr id="15938188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18829" name="圖片 15938188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1496" cy="3675888"/>
                    </a:xfrm>
                    <a:prstGeom prst="rect">
                      <a:avLst/>
                    </a:prstGeom>
                  </pic:spPr>
                </pic:pic>
              </a:graphicData>
            </a:graphic>
          </wp:inline>
        </w:drawing>
      </w:r>
    </w:p>
    <w:p w14:paraId="59CD65E8" w14:textId="77272D5F" w:rsidR="00676CCF" w:rsidRDefault="00676CCF" w:rsidP="0027264E">
      <w:pPr>
        <w:spacing w:line="480" w:lineRule="auto"/>
        <w:ind w:rightChars="-24" w:right="-58"/>
        <w:jc w:val="both"/>
      </w:pPr>
      <w:r w:rsidRPr="00676CCF">
        <w:rPr>
          <w:rFonts w:hint="eastAsia"/>
          <w:b/>
          <w:bCs/>
        </w:rPr>
        <w:t>F</w:t>
      </w:r>
      <w:r w:rsidRPr="00676CCF">
        <w:rPr>
          <w:b/>
          <w:bCs/>
        </w:rPr>
        <w:t xml:space="preserve">igure 1. </w:t>
      </w:r>
      <w:r w:rsidRPr="00676CCF">
        <w:t>The cumulative incidence of clinical relapse following discontinuation of nucleos(t)ide analogues in the study population</w:t>
      </w:r>
      <w:r>
        <w:t>.</w:t>
      </w:r>
    </w:p>
    <w:p w14:paraId="41F40871" w14:textId="77777777" w:rsidR="00676CCF" w:rsidRDefault="00676CCF" w:rsidP="0027264E">
      <w:pPr>
        <w:spacing w:line="480" w:lineRule="auto"/>
        <w:ind w:rightChars="-24" w:right="-58"/>
        <w:jc w:val="both"/>
      </w:pPr>
    </w:p>
    <w:p w14:paraId="7A6A6A44" w14:textId="1AADA787" w:rsidR="00676CCF" w:rsidRDefault="00676CCF" w:rsidP="0027264E">
      <w:pPr>
        <w:spacing w:line="480" w:lineRule="auto"/>
        <w:ind w:rightChars="-24" w:right="-58"/>
        <w:jc w:val="both"/>
      </w:pPr>
      <w:r>
        <w:rPr>
          <w:rFonts w:hint="eastAsia"/>
          <w:noProof/>
        </w:rPr>
        <w:lastRenderedPageBreak/>
        <w:drawing>
          <wp:inline distT="0" distB="0" distL="0" distR="0" wp14:anchorId="13009673" wp14:editId="08608EC4">
            <wp:extent cx="4215398" cy="3172979"/>
            <wp:effectExtent l="0" t="0" r="0" b="8890"/>
            <wp:docPr id="45237197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71976" name="圖片 4523719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5398" cy="3172979"/>
                    </a:xfrm>
                    <a:prstGeom prst="rect">
                      <a:avLst/>
                    </a:prstGeom>
                  </pic:spPr>
                </pic:pic>
              </a:graphicData>
            </a:graphic>
          </wp:inline>
        </w:drawing>
      </w:r>
    </w:p>
    <w:p w14:paraId="7CB8BE7E" w14:textId="49C89794" w:rsidR="00676CCF" w:rsidRDefault="00676CCF" w:rsidP="0027264E">
      <w:pPr>
        <w:spacing w:line="480" w:lineRule="auto"/>
        <w:ind w:rightChars="-24" w:right="-58"/>
        <w:jc w:val="both"/>
        <w:rPr>
          <w:color w:val="000000"/>
          <w:szCs w:val="22"/>
        </w:rPr>
      </w:pPr>
      <w:r w:rsidRPr="00676CCF">
        <w:rPr>
          <w:rFonts w:hint="eastAsia"/>
          <w:b/>
          <w:bCs/>
          <w:color w:val="000000"/>
          <w:szCs w:val="22"/>
        </w:rPr>
        <w:t>F</w:t>
      </w:r>
      <w:r w:rsidRPr="00676CCF">
        <w:rPr>
          <w:b/>
          <w:bCs/>
          <w:color w:val="000000"/>
          <w:szCs w:val="22"/>
        </w:rPr>
        <w:t xml:space="preserve">igure 2. </w:t>
      </w:r>
      <w:r w:rsidRPr="00676CCF">
        <w:rPr>
          <w:color w:val="000000"/>
          <w:szCs w:val="22"/>
        </w:rPr>
        <w:t>The cumulative incidence of clinical relapse according to serum level of hepatitis B core-related antigen measured at the end of treatment</w:t>
      </w:r>
      <w:r>
        <w:rPr>
          <w:color w:val="000000"/>
          <w:szCs w:val="22"/>
        </w:rPr>
        <w:t>.</w:t>
      </w:r>
    </w:p>
    <w:p w14:paraId="4856E43D" w14:textId="77777777" w:rsidR="00676CCF" w:rsidRDefault="00676CCF" w:rsidP="0027264E">
      <w:pPr>
        <w:spacing w:line="480" w:lineRule="auto"/>
        <w:ind w:rightChars="-24" w:right="-58"/>
        <w:jc w:val="both"/>
        <w:rPr>
          <w:color w:val="000000"/>
          <w:szCs w:val="22"/>
        </w:rPr>
      </w:pPr>
    </w:p>
    <w:p w14:paraId="4C49EBED" w14:textId="77777777" w:rsidR="00676CCF" w:rsidRDefault="00676CCF" w:rsidP="0027264E">
      <w:pPr>
        <w:spacing w:line="480" w:lineRule="auto"/>
        <w:ind w:rightChars="-24" w:right="-58"/>
        <w:jc w:val="both"/>
        <w:sectPr w:rsidR="00676CCF" w:rsidSect="007B5678">
          <w:pgSz w:w="11906" w:h="16838" w:code="9"/>
          <w:pgMar w:top="1440" w:right="1758" w:bottom="1440" w:left="1758" w:header="851" w:footer="992" w:gutter="0"/>
          <w:lnNumType w:countBy="1" w:restart="continuous"/>
          <w:cols w:space="425"/>
          <w:docGrid w:type="linesAndChars" w:linePitch="360"/>
        </w:sectPr>
      </w:pPr>
    </w:p>
    <w:p w14:paraId="0B4F1958" w14:textId="299AC2F5" w:rsidR="00676CCF" w:rsidRDefault="00676CCF" w:rsidP="0027264E">
      <w:pPr>
        <w:spacing w:line="480" w:lineRule="auto"/>
        <w:ind w:rightChars="-24" w:right="-58"/>
        <w:jc w:val="both"/>
        <w:rPr>
          <w:b/>
          <w:bCs/>
          <w:color w:val="000000"/>
          <w:szCs w:val="22"/>
        </w:rPr>
      </w:pPr>
      <w:r>
        <w:rPr>
          <w:b/>
          <w:bCs/>
          <w:noProof/>
          <w:color w:val="000000"/>
          <w:szCs w:val="22"/>
        </w:rPr>
        <w:lastRenderedPageBreak/>
        <w:drawing>
          <wp:inline distT="0" distB="0" distL="0" distR="0" wp14:anchorId="3135F052" wp14:editId="11691BEA">
            <wp:extent cx="3121152" cy="3288792"/>
            <wp:effectExtent l="0" t="0" r="3175" b="6985"/>
            <wp:docPr id="45159915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99156" name="圖片 4515991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1152" cy="3288792"/>
                    </a:xfrm>
                    <a:prstGeom prst="rect">
                      <a:avLst/>
                    </a:prstGeom>
                  </pic:spPr>
                </pic:pic>
              </a:graphicData>
            </a:graphic>
          </wp:inline>
        </w:drawing>
      </w:r>
    </w:p>
    <w:p w14:paraId="403A3BB3" w14:textId="3FFDEBE2" w:rsidR="00676CCF" w:rsidRDefault="00676CCF" w:rsidP="0027264E">
      <w:pPr>
        <w:spacing w:line="480" w:lineRule="auto"/>
        <w:ind w:rightChars="-24" w:right="-58"/>
        <w:jc w:val="both"/>
        <w:rPr>
          <w:color w:val="000000"/>
          <w:szCs w:val="22"/>
        </w:rPr>
      </w:pPr>
      <w:r w:rsidRPr="00676CCF">
        <w:rPr>
          <w:rFonts w:hint="eastAsia"/>
          <w:b/>
          <w:bCs/>
          <w:color w:val="000000"/>
          <w:szCs w:val="22"/>
        </w:rPr>
        <w:t>F</w:t>
      </w:r>
      <w:r w:rsidRPr="00676CCF">
        <w:rPr>
          <w:b/>
          <w:bCs/>
          <w:color w:val="000000"/>
          <w:szCs w:val="22"/>
        </w:rPr>
        <w:t xml:space="preserve">igure 3. </w:t>
      </w:r>
      <w:r w:rsidRPr="00676CCF">
        <w:rPr>
          <w:color w:val="000000"/>
          <w:szCs w:val="22"/>
        </w:rPr>
        <w:t>The receiver operating characteristic curve of serum end-of-treatment hepatitis B core-related antigen level to predict clinical relapse off nucleos(t)ide analogues</w:t>
      </w:r>
      <w:r>
        <w:rPr>
          <w:color w:val="000000"/>
          <w:szCs w:val="22"/>
        </w:rPr>
        <w:t>.</w:t>
      </w:r>
    </w:p>
    <w:p w14:paraId="3E531F99" w14:textId="77777777" w:rsidR="00676CCF" w:rsidRDefault="00676CCF" w:rsidP="0027264E">
      <w:pPr>
        <w:spacing w:line="480" w:lineRule="auto"/>
        <w:ind w:rightChars="-24" w:right="-58"/>
        <w:jc w:val="both"/>
        <w:rPr>
          <w:color w:val="000000"/>
          <w:szCs w:val="22"/>
        </w:rPr>
      </w:pPr>
    </w:p>
    <w:p w14:paraId="7DCB8001" w14:textId="47E5A56B" w:rsidR="00676CCF" w:rsidRDefault="00676CCF" w:rsidP="0027264E">
      <w:pPr>
        <w:spacing w:line="480" w:lineRule="auto"/>
        <w:ind w:rightChars="-24" w:right="-58"/>
        <w:jc w:val="both"/>
      </w:pPr>
      <w:r>
        <w:rPr>
          <w:rFonts w:hint="eastAsia"/>
          <w:noProof/>
        </w:rPr>
        <w:lastRenderedPageBreak/>
        <w:drawing>
          <wp:inline distT="0" distB="0" distL="0" distR="0" wp14:anchorId="5007CF70" wp14:editId="04D66C41">
            <wp:extent cx="5327650" cy="5354320"/>
            <wp:effectExtent l="0" t="0" r="6350" b="0"/>
            <wp:docPr id="128511537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15371" name="圖片 1285115371"/>
                    <pic:cNvPicPr/>
                  </pic:nvPicPr>
                  <pic:blipFill>
                    <a:blip r:embed="rId11">
                      <a:extLst>
                        <a:ext uri="{28A0092B-C50C-407E-A947-70E740481C1C}">
                          <a14:useLocalDpi xmlns:a14="http://schemas.microsoft.com/office/drawing/2010/main" val="0"/>
                        </a:ext>
                      </a:extLst>
                    </a:blip>
                    <a:stretch>
                      <a:fillRect/>
                    </a:stretch>
                  </pic:blipFill>
                  <pic:spPr>
                    <a:xfrm>
                      <a:off x="0" y="0"/>
                      <a:ext cx="5327650" cy="5354320"/>
                    </a:xfrm>
                    <a:prstGeom prst="rect">
                      <a:avLst/>
                    </a:prstGeom>
                  </pic:spPr>
                </pic:pic>
              </a:graphicData>
            </a:graphic>
          </wp:inline>
        </w:drawing>
      </w:r>
    </w:p>
    <w:p w14:paraId="7C698274" w14:textId="6D2EA1D0" w:rsidR="00676CCF" w:rsidRDefault="00676CCF" w:rsidP="0027264E">
      <w:pPr>
        <w:spacing w:line="480" w:lineRule="auto"/>
        <w:ind w:rightChars="-24" w:right="-58"/>
        <w:jc w:val="both"/>
      </w:pPr>
      <w:r w:rsidRPr="00676CCF">
        <w:rPr>
          <w:rFonts w:hint="eastAsia"/>
          <w:b/>
          <w:bCs/>
        </w:rPr>
        <w:t>F</w:t>
      </w:r>
      <w:r w:rsidRPr="00676CCF">
        <w:rPr>
          <w:b/>
          <w:bCs/>
        </w:rPr>
        <w:t>igure 4.</w:t>
      </w:r>
      <w:r w:rsidRPr="00676CCF">
        <w:t xml:space="preserve"> The violin plot illustrates the distribution of serum </w:t>
      </w:r>
      <w:proofErr w:type="spellStart"/>
      <w:r w:rsidRPr="00676CCF">
        <w:t>HBcrAg</w:t>
      </w:r>
      <w:proofErr w:type="spellEnd"/>
      <w:r w:rsidRPr="00676CCF">
        <w:t xml:space="preserve"> levels measured at treatment cessation (left panel), one year afterwards (middle panel), and two years afterwards (right panel) in all patients, categorized by the occurrence (indicated in yellow) or absence (indicated in blue) of clinical relapse.</w:t>
      </w:r>
    </w:p>
    <w:p w14:paraId="7308DD6D" w14:textId="77777777" w:rsidR="00676CCF" w:rsidRDefault="00676CCF" w:rsidP="0027264E">
      <w:pPr>
        <w:spacing w:line="480" w:lineRule="auto"/>
        <w:ind w:rightChars="-24" w:right="-58"/>
        <w:jc w:val="both"/>
      </w:pPr>
    </w:p>
    <w:p w14:paraId="6C150DF2" w14:textId="77777777" w:rsidR="00676CCF" w:rsidRDefault="00676CCF" w:rsidP="0027264E">
      <w:pPr>
        <w:spacing w:line="480" w:lineRule="auto"/>
        <w:ind w:rightChars="-24" w:right="-58"/>
        <w:jc w:val="both"/>
        <w:sectPr w:rsidR="00676CCF" w:rsidSect="007B5678">
          <w:pgSz w:w="11906" w:h="16838" w:code="9"/>
          <w:pgMar w:top="1440" w:right="1758" w:bottom="1440" w:left="1758" w:header="851" w:footer="992" w:gutter="0"/>
          <w:lnNumType w:countBy="1" w:restart="continuous"/>
          <w:cols w:space="425"/>
          <w:docGrid w:type="linesAndChars" w:linePitch="360"/>
        </w:sectPr>
      </w:pPr>
    </w:p>
    <w:p w14:paraId="2B7B76AA" w14:textId="7B2545AC" w:rsidR="00676CCF" w:rsidRDefault="00676CCF" w:rsidP="0027264E">
      <w:pPr>
        <w:spacing w:line="480" w:lineRule="auto"/>
        <w:ind w:rightChars="-24" w:right="-58"/>
        <w:jc w:val="both"/>
      </w:pPr>
      <w:r>
        <w:rPr>
          <w:rFonts w:hint="eastAsia"/>
          <w:noProof/>
        </w:rPr>
        <w:lastRenderedPageBreak/>
        <w:drawing>
          <wp:inline distT="0" distB="0" distL="0" distR="0" wp14:anchorId="5FEECD58" wp14:editId="24B0102C">
            <wp:extent cx="5327650" cy="2169160"/>
            <wp:effectExtent l="0" t="0" r="6350" b="2540"/>
            <wp:docPr id="106580248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02480" name="圖片 10658024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7650" cy="2169160"/>
                    </a:xfrm>
                    <a:prstGeom prst="rect">
                      <a:avLst/>
                    </a:prstGeom>
                  </pic:spPr>
                </pic:pic>
              </a:graphicData>
            </a:graphic>
          </wp:inline>
        </w:drawing>
      </w:r>
    </w:p>
    <w:p w14:paraId="5FD02977" w14:textId="493FE5E6" w:rsidR="00676CCF" w:rsidRPr="00676CCF" w:rsidRDefault="00676CCF" w:rsidP="0027264E">
      <w:pPr>
        <w:spacing w:line="480" w:lineRule="auto"/>
        <w:ind w:rightChars="-24" w:right="-58"/>
        <w:jc w:val="both"/>
        <w:rPr>
          <w:rFonts w:hint="eastAsia"/>
        </w:rPr>
      </w:pPr>
      <w:r w:rsidRPr="00676CCF">
        <w:rPr>
          <w:rFonts w:hint="eastAsia"/>
          <w:b/>
          <w:bCs/>
          <w:color w:val="000000"/>
          <w:szCs w:val="22"/>
        </w:rPr>
        <w:t>F</w:t>
      </w:r>
      <w:r w:rsidRPr="00676CCF">
        <w:rPr>
          <w:b/>
          <w:bCs/>
          <w:color w:val="000000"/>
          <w:szCs w:val="22"/>
        </w:rPr>
        <w:t xml:space="preserve">igure 5. </w:t>
      </w:r>
      <w:r w:rsidRPr="00676CCF">
        <w:rPr>
          <w:color w:val="000000"/>
          <w:szCs w:val="22"/>
        </w:rPr>
        <w:t xml:space="preserve">The cumulative incidence of clinical relapse according to changes in serum level of hepatitis B core-related antigen </w:t>
      </w:r>
      <w:bookmarkStart w:id="27" w:name="_Hlk141996921"/>
      <w:r w:rsidRPr="00676CCF">
        <w:rPr>
          <w:color w:val="000000"/>
          <w:szCs w:val="22"/>
        </w:rPr>
        <w:t>during the first year (5A, left panel) and second year (5B, right panel)</w:t>
      </w:r>
      <w:bookmarkEnd w:id="27"/>
    </w:p>
    <w:sectPr w:rsidR="00676CCF" w:rsidRPr="00676CCF" w:rsidSect="007B5678">
      <w:pgSz w:w="11906" w:h="16838" w:code="9"/>
      <w:pgMar w:top="1440" w:right="1758" w:bottom="1440" w:left="1758" w:header="851" w:footer="992" w:gutter="0"/>
      <w:lnNumType w:countBy="1" w:restart="continuous"/>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68244" w14:textId="77777777" w:rsidR="002C009F" w:rsidRDefault="002C009F">
      <w:r>
        <w:separator/>
      </w:r>
    </w:p>
  </w:endnote>
  <w:endnote w:type="continuationSeparator" w:id="0">
    <w:p w14:paraId="03A369A2" w14:textId="77777777" w:rsidR="002C009F" w:rsidRDefault="002C0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ө">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6F3C8" w14:textId="77777777" w:rsidR="002C009F" w:rsidRDefault="002C009F">
      <w:r>
        <w:separator/>
      </w:r>
    </w:p>
  </w:footnote>
  <w:footnote w:type="continuationSeparator" w:id="0">
    <w:p w14:paraId="7C12156A" w14:textId="77777777" w:rsidR="002C009F" w:rsidRDefault="002C0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5E5A"/>
    <w:multiLevelType w:val="multilevel"/>
    <w:tmpl w:val="BE9E5B90"/>
    <w:lvl w:ilvl="0">
      <w:start w:val="3"/>
      <w:numFmt w:val="decimal"/>
      <w:lvlText w:val="%1"/>
      <w:lvlJc w:val="left"/>
      <w:pPr>
        <w:ind w:left="420" w:hanging="420"/>
      </w:pPr>
      <w:rPr>
        <w:rFonts w:hint="default"/>
      </w:rPr>
    </w:lvl>
    <w:lvl w:ilvl="1">
      <w:start w:val="2"/>
      <w:numFmt w:val="decimalZero"/>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B332C40"/>
    <w:multiLevelType w:val="hybridMultilevel"/>
    <w:tmpl w:val="4770F916"/>
    <w:lvl w:ilvl="0" w:tplc="19D6AF66">
      <w:numFmt w:val="bullet"/>
      <w:lvlText w:val=""/>
      <w:lvlJc w:val="left"/>
      <w:pPr>
        <w:tabs>
          <w:tab w:val="num" w:pos="360"/>
        </w:tabs>
        <w:ind w:left="360" w:hanging="360"/>
      </w:pPr>
      <w:rPr>
        <w:rFonts w:ascii="Wingdings" w:eastAsia="新細明體" w:hAnsi="Wingdings"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231508B0"/>
    <w:multiLevelType w:val="hybridMultilevel"/>
    <w:tmpl w:val="084ED850"/>
    <w:lvl w:ilvl="0" w:tplc="E1BA6138">
      <w:numFmt w:val="bullet"/>
      <w:lvlText w:val=""/>
      <w:lvlJc w:val="left"/>
      <w:pPr>
        <w:ind w:left="477" w:hanging="360"/>
      </w:pPr>
      <w:rPr>
        <w:rFonts w:ascii="Wingdings" w:eastAsia="新細明體" w:hAnsi="Wingdings" w:cs="Times New Roman" w:hint="default"/>
      </w:rPr>
    </w:lvl>
    <w:lvl w:ilvl="1" w:tplc="04090003" w:tentative="1">
      <w:start w:val="1"/>
      <w:numFmt w:val="bullet"/>
      <w:lvlText w:val=""/>
      <w:lvlJc w:val="left"/>
      <w:pPr>
        <w:ind w:left="1077" w:hanging="480"/>
      </w:pPr>
      <w:rPr>
        <w:rFonts w:ascii="Wingdings" w:hAnsi="Wingdings" w:hint="default"/>
      </w:rPr>
    </w:lvl>
    <w:lvl w:ilvl="2" w:tplc="04090005" w:tentative="1">
      <w:start w:val="1"/>
      <w:numFmt w:val="bullet"/>
      <w:lvlText w:val=""/>
      <w:lvlJc w:val="left"/>
      <w:pPr>
        <w:ind w:left="1557" w:hanging="480"/>
      </w:pPr>
      <w:rPr>
        <w:rFonts w:ascii="Wingdings" w:hAnsi="Wingdings" w:hint="default"/>
      </w:rPr>
    </w:lvl>
    <w:lvl w:ilvl="3" w:tplc="04090001" w:tentative="1">
      <w:start w:val="1"/>
      <w:numFmt w:val="bullet"/>
      <w:lvlText w:val=""/>
      <w:lvlJc w:val="left"/>
      <w:pPr>
        <w:ind w:left="2037" w:hanging="480"/>
      </w:pPr>
      <w:rPr>
        <w:rFonts w:ascii="Wingdings" w:hAnsi="Wingdings" w:hint="default"/>
      </w:rPr>
    </w:lvl>
    <w:lvl w:ilvl="4" w:tplc="04090003" w:tentative="1">
      <w:start w:val="1"/>
      <w:numFmt w:val="bullet"/>
      <w:lvlText w:val=""/>
      <w:lvlJc w:val="left"/>
      <w:pPr>
        <w:ind w:left="2517" w:hanging="480"/>
      </w:pPr>
      <w:rPr>
        <w:rFonts w:ascii="Wingdings" w:hAnsi="Wingdings" w:hint="default"/>
      </w:rPr>
    </w:lvl>
    <w:lvl w:ilvl="5" w:tplc="04090005" w:tentative="1">
      <w:start w:val="1"/>
      <w:numFmt w:val="bullet"/>
      <w:lvlText w:val=""/>
      <w:lvlJc w:val="left"/>
      <w:pPr>
        <w:ind w:left="2997" w:hanging="480"/>
      </w:pPr>
      <w:rPr>
        <w:rFonts w:ascii="Wingdings" w:hAnsi="Wingdings" w:hint="default"/>
      </w:rPr>
    </w:lvl>
    <w:lvl w:ilvl="6" w:tplc="04090001" w:tentative="1">
      <w:start w:val="1"/>
      <w:numFmt w:val="bullet"/>
      <w:lvlText w:val=""/>
      <w:lvlJc w:val="left"/>
      <w:pPr>
        <w:ind w:left="3477" w:hanging="480"/>
      </w:pPr>
      <w:rPr>
        <w:rFonts w:ascii="Wingdings" w:hAnsi="Wingdings" w:hint="default"/>
      </w:rPr>
    </w:lvl>
    <w:lvl w:ilvl="7" w:tplc="04090003" w:tentative="1">
      <w:start w:val="1"/>
      <w:numFmt w:val="bullet"/>
      <w:lvlText w:val=""/>
      <w:lvlJc w:val="left"/>
      <w:pPr>
        <w:ind w:left="3957" w:hanging="480"/>
      </w:pPr>
      <w:rPr>
        <w:rFonts w:ascii="Wingdings" w:hAnsi="Wingdings" w:hint="default"/>
      </w:rPr>
    </w:lvl>
    <w:lvl w:ilvl="8" w:tplc="04090005" w:tentative="1">
      <w:start w:val="1"/>
      <w:numFmt w:val="bullet"/>
      <w:lvlText w:val=""/>
      <w:lvlJc w:val="left"/>
      <w:pPr>
        <w:ind w:left="4437" w:hanging="480"/>
      </w:pPr>
      <w:rPr>
        <w:rFonts w:ascii="Wingdings" w:hAnsi="Wingdings" w:hint="default"/>
      </w:rPr>
    </w:lvl>
  </w:abstractNum>
  <w:abstractNum w:abstractNumId="3" w15:restartNumberingAfterBreak="0">
    <w:nsid w:val="24B73685"/>
    <w:multiLevelType w:val="hybridMultilevel"/>
    <w:tmpl w:val="2C2ABDE4"/>
    <w:lvl w:ilvl="0" w:tplc="4E5ECF66">
      <w:numFmt w:val="bullet"/>
      <w:lvlText w:val=""/>
      <w:lvlJc w:val="left"/>
      <w:pPr>
        <w:ind w:left="465" w:hanging="360"/>
      </w:pPr>
      <w:rPr>
        <w:rFonts w:ascii="Wingdings" w:eastAsia="新細明體" w:hAnsi="Wingdings" w:cs="Times New Roman" w:hint="default"/>
      </w:rPr>
    </w:lvl>
    <w:lvl w:ilvl="1" w:tplc="04090003" w:tentative="1">
      <w:start w:val="1"/>
      <w:numFmt w:val="bullet"/>
      <w:lvlText w:val=""/>
      <w:lvlJc w:val="left"/>
      <w:pPr>
        <w:ind w:left="1065" w:hanging="480"/>
      </w:pPr>
      <w:rPr>
        <w:rFonts w:ascii="Wingdings" w:hAnsi="Wingdings" w:hint="default"/>
      </w:rPr>
    </w:lvl>
    <w:lvl w:ilvl="2" w:tplc="04090005" w:tentative="1">
      <w:start w:val="1"/>
      <w:numFmt w:val="bullet"/>
      <w:lvlText w:val=""/>
      <w:lvlJc w:val="left"/>
      <w:pPr>
        <w:ind w:left="1545" w:hanging="480"/>
      </w:pPr>
      <w:rPr>
        <w:rFonts w:ascii="Wingdings" w:hAnsi="Wingdings" w:hint="default"/>
      </w:rPr>
    </w:lvl>
    <w:lvl w:ilvl="3" w:tplc="04090001" w:tentative="1">
      <w:start w:val="1"/>
      <w:numFmt w:val="bullet"/>
      <w:lvlText w:val=""/>
      <w:lvlJc w:val="left"/>
      <w:pPr>
        <w:ind w:left="2025" w:hanging="480"/>
      </w:pPr>
      <w:rPr>
        <w:rFonts w:ascii="Wingdings" w:hAnsi="Wingdings" w:hint="default"/>
      </w:rPr>
    </w:lvl>
    <w:lvl w:ilvl="4" w:tplc="04090003" w:tentative="1">
      <w:start w:val="1"/>
      <w:numFmt w:val="bullet"/>
      <w:lvlText w:val=""/>
      <w:lvlJc w:val="left"/>
      <w:pPr>
        <w:ind w:left="2505" w:hanging="480"/>
      </w:pPr>
      <w:rPr>
        <w:rFonts w:ascii="Wingdings" w:hAnsi="Wingdings" w:hint="default"/>
      </w:rPr>
    </w:lvl>
    <w:lvl w:ilvl="5" w:tplc="04090005" w:tentative="1">
      <w:start w:val="1"/>
      <w:numFmt w:val="bullet"/>
      <w:lvlText w:val=""/>
      <w:lvlJc w:val="left"/>
      <w:pPr>
        <w:ind w:left="2985" w:hanging="480"/>
      </w:pPr>
      <w:rPr>
        <w:rFonts w:ascii="Wingdings" w:hAnsi="Wingdings" w:hint="default"/>
      </w:rPr>
    </w:lvl>
    <w:lvl w:ilvl="6" w:tplc="04090001" w:tentative="1">
      <w:start w:val="1"/>
      <w:numFmt w:val="bullet"/>
      <w:lvlText w:val=""/>
      <w:lvlJc w:val="left"/>
      <w:pPr>
        <w:ind w:left="3465" w:hanging="480"/>
      </w:pPr>
      <w:rPr>
        <w:rFonts w:ascii="Wingdings" w:hAnsi="Wingdings" w:hint="default"/>
      </w:rPr>
    </w:lvl>
    <w:lvl w:ilvl="7" w:tplc="04090003" w:tentative="1">
      <w:start w:val="1"/>
      <w:numFmt w:val="bullet"/>
      <w:lvlText w:val=""/>
      <w:lvlJc w:val="left"/>
      <w:pPr>
        <w:ind w:left="3945" w:hanging="480"/>
      </w:pPr>
      <w:rPr>
        <w:rFonts w:ascii="Wingdings" w:hAnsi="Wingdings" w:hint="default"/>
      </w:rPr>
    </w:lvl>
    <w:lvl w:ilvl="8" w:tplc="04090005" w:tentative="1">
      <w:start w:val="1"/>
      <w:numFmt w:val="bullet"/>
      <w:lvlText w:val=""/>
      <w:lvlJc w:val="left"/>
      <w:pPr>
        <w:ind w:left="4425" w:hanging="480"/>
      </w:pPr>
      <w:rPr>
        <w:rFonts w:ascii="Wingdings" w:hAnsi="Wingdings" w:hint="default"/>
      </w:rPr>
    </w:lvl>
  </w:abstractNum>
  <w:abstractNum w:abstractNumId="4" w15:restartNumberingAfterBreak="0">
    <w:nsid w:val="2B713F69"/>
    <w:multiLevelType w:val="hybridMultilevel"/>
    <w:tmpl w:val="EE2C99B2"/>
    <w:lvl w:ilvl="0" w:tplc="09DCA830">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C5F0271"/>
    <w:multiLevelType w:val="multilevel"/>
    <w:tmpl w:val="BB927C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543B40"/>
    <w:multiLevelType w:val="hybridMultilevel"/>
    <w:tmpl w:val="2BDC17D0"/>
    <w:lvl w:ilvl="0" w:tplc="188E4172">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FDA3C6C"/>
    <w:multiLevelType w:val="hybridMultilevel"/>
    <w:tmpl w:val="58BA347C"/>
    <w:lvl w:ilvl="0" w:tplc="FFFFFFFF">
      <w:start w:val="1"/>
      <w:numFmt w:val="lowerRoman"/>
      <w:lvlText w:val="%1."/>
      <w:lvlJc w:val="left"/>
      <w:pPr>
        <w:ind w:left="720" w:hanging="72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44094D7C"/>
    <w:multiLevelType w:val="hybridMultilevel"/>
    <w:tmpl w:val="BE86C426"/>
    <w:lvl w:ilvl="0" w:tplc="79A2B7FC">
      <w:start w:val="5"/>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9353089"/>
    <w:multiLevelType w:val="hybridMultilevel"/>
    <w:tmpl w:val="78C23B94"/>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50743786"/>
    <w:multiLevelType w:val="hybridMultilevel"/>
    <w:tmpl w:val="F51838BA"/>
    <w:lvl w:ilvl="0" w:tplc="26FE67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1865595"/>
    <w:multiLevelType w:val="hybridMultilevel"/>
    <w:tmpl w:val="8F6EE866"/>
    <w:lvl w:ilvl="0" w:tplc="0E0664C0">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2968D0"/>
    <w:multiLevelType w:val="hybridMultilevel"/>
    <w:tmpl w:val="4B1CD346"/>
    <w:lvl w:ilvl="0" w:tplc="C1206132">
      <w:start w:val="1"/>
      <w:numFmt w:val="bullet"/>
      <w:lvlText w:val=""/>
      <w:lvlJc w:val="left"/>
      <w:pPr>
        <w:ind w:left="218" w:hanging="360"/>
      </w:pPr>
      <w:rPr>
        <w:rFonts w:ascii="Wingdings" w:eastAsia="新細明體" w:hAnsi="Wingdings" w:cs="Times New Roman" w:hint="default"/>
      </w:rPr>
    </w:lvl>
    <w:lvl w:ilvl="1" w:tplc="04090003" w:tentative="1">
      <w:start w:val="1"/>
      <w:numFmt w:val="bullet"/>
      <w:lvlText w:val=""/>
      <w:lvlJc w:val="left"/>
      <w:pPr>
        <w:ind w:left="818" w:hanging="480"/>
      </w:pPr>
      <w:rPr>
        <w:rFonts w:ascii="Wingdings" w:hAnsi="Wingdings" w:hint="default"/>
      </w:rPr>
    </w:lvl>
    <w:lvl w:ilvl="2" w:tplc="04090005" w:tentative="1">
      <w:start w:val="1"/>
      <w:numFmt w:val="bullet"/>
      <w:lvlText w:val=""/>
      <w:lvlJc w:val="left"/>
      <w:pPr>
        <w:ind w:left="1298" w:hanging="480"/>
      </w:pPr>
      <w:rPr>
        <w:rFonts w:ascii="Wingdings" w:hAnsi="Wingdings" w:hint="default"/>
      </w:rPr>
    </w:lvl>
    <w:lvl w:ilvl="3" w:tplc="04090001" w:tentative="1">
      <w:start w:val="1"/>
      <w:numFmt w:val="bullet"/>
      <w:lvlText w:val=""/>
      <w:lvlJc w:val="left"/>
      <w:pPr>
        <w:ind w:left="1778" w:hanging="480"/>
      </w:pPr>
      <w:rPr>
        <w:rFonts w:ascii="Wingdings" w:hAnsi="Wingdings" w:hint="default"/>
      </w:rPr>
    </w:lvl>
    <w:lvl w:ilvl="4" w:tplc="04090003" w:tentative="1">
      <w:start w:val="1"/>
      <w:numFmt w:val="bullet"/>
      <w:lvlText w:val=""/>
      <w:lvlJc w:val="left"/>
      <w:pPr>
        <w:ind w:left="2258" w:hanging="480"/>
      </w:pPr>
      <w:rPr>
        <w:rFonts w:ascii="Wingdings" w:hAnsi="Wingdings" w:hint="default"/>
      </w:rPr>
    </w:lvl>
    <w:lvl w:ilvl="5" w:tplc="04090005" w:tentative="1">
      <w:start w:val="1"/>
      <w:numFmt w:val="bullet"/>
      <w:lvlText w:val=""/>
      <w:lvlJc w:val="left"/>
      <w:pPr>
        <w:ind w:left="2738" w:hanging="480"/>
      </w:pPr>
      <w:rPr>
        <w:rFonts w:ascii="Wingdings" w:hAnsi="Wingdings" w:hint="default"/>
      </w:rPr>
    </w:lvl>
    <w:lvl w:ilvl="6" w:tplc="04090001" w:tentative="1">
      <w:start w:val="1"/>
      <w:numFmt w:val="bullet"/>
      <w:lvlText w:val=""/>
      <w:lvlJc w:val="left"/>
      <w:pPr>
        <w:ind w:left="3218" w:hanging="480"/>
      </w:pPr>
      <w:rPr>
        <w:rFonts w:ascii="Wingdings" w:hAnsi="Wingdings" w:hint="default"/>
      </w:rPr>
    </w:lvl>
    <w:lvl w:ilvl="7" w:tplc="04090003" w:tentative="1">
      <w:start w:val="1"/>
      <w:numFmt w:val="bullet"/>
      <w:lvlText w:val=""/>
      <w:lvlJc w:val="left"/>
      <w:pPr>
        <w:ind w:left="3698" w:hanging="480"/>
      </w:pPr>
      <w:rPr>
        <w:rFonts w:ascii="Wingdings" w:hAnsi="Wingdings" w:hint="default"/>
      </w:rPr>
    </w:lvl>
    <w:lvl w:ilvl="8" w:tplc="04090005" w:tentative="1">
      <w:start w:val="1"/>
      <w:numFmt w:val="bullet"/>
      <w:lvlText w:val=""/>
      <w:lvlJc w:val="left"/>
      <w:pPr>
        <w:ind w:left="4178" w:hanging="480"/>
      </w:pPr>
      <w:rPr>
        <w:rFonts w:ascii="Wingdings" w:hAnsi="Wingdings" w:hint="default"/>
      </w:rPr>
    </w:lvl>
  </w:abstractNum>
  <w:abstractNum w:abstractNumId="13" w15:restartNumberingAfterBreak="0">
    <w:nsid w:val="70635413"/>
    <w:multiLevelType w:val="hybridMultilevel"/>
    <w:tmpl w:val="452ACDA8"/>
    <w:lvl w:ilvl="0" w:tplc="FFFFFFFF">
      <w:start w:val="1"/>
      <w:numFmt w:val="decimal"/>
      <w:lvlText w:val="%1."/>
      <w:lvlJc w:val="left"/>
      <w:pPr>
        <w:ind w:left="480" w:hanging="480"/>
      </w:p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71BB5D4E"/>
    <w:multiLevelType w:val="hybridMultilevel"/>
    <w:tmpl w:val="7C3ED294"/>
    <w:lvl w:ilvl="0" w:tplc="E208E1DE">
      <w:start w:val="5"/>
      <w:numFmt w:val="bullet"/>
      <w:lvlText w:val=""/>
      <w:lvlJc w:val="left"/>
      <w:pPr>
        <w:ind w:left="360" w:hanging="360"/>
      </w:pPr>
      <w:rPr>
        <w:rFonts w:ascii="Wingdings" w:eastAsia="新細明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71D53958"/>
    <w:multiLevelType w:val="hybridMultilevel"/>
    <w:tmpl w:val="0FD22948"/>
    <w:lvl w:ilvl="0" w:tplc="27BE07B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71FD4B6F"/>
    <w:multiLevelType w:val="hybridMultilevel"/>
    <w:tmpl w:val="DE0035CA"/>
    <w:lvl w:ilvl="0" w:tplc="FFFFFFFF">
      <w:numFmt w:val="bullet"/>
      <w:lvlText w:val="-"/>
      <w:lvlJc w:val="left"/>
      <w:pPr>
        <w:ind w:left="360" w:hanging="360"/>
      </w:pPr>
      <w:rPr>
        <w:rFonts w:ascii="Times New Roman" w:eastAsia="新細明體" w:hAnsi="Times New Roman" w:cs="Times New Roman" w:hint="default"/>
      </w:rPr>
    </w:lvl>
    <w:lvl w:ilvl="1" w:tplc="FFFFFFFF">
      <w:start w:val="1"/>
      <w:numFmt w:val="bullet"/>
      <w:lvlText w:val=""/>
      <w:lvlJc w:val="left"/>
      <w:pPr>
        <w:ind w:left="960" w:hanging="480"/>
      </w:pPr>
      <w:rPr>
        <w:rFonts w:ascii="Wingdings" w:hAnsi="Wingdings" w:hint="default"/>
      </w:rPr>
    </w:lvl>
    <w:lvl w:ilvl="2" w:tplc="FFFFFFFF">
      <w:start w:val="1"/>
      <w:numFmt w:val="bullet"/>
      <w:lvlText w:val=""/>
      <w:lvlJc w:val="left"/>
      <w:pPr>
        <w:ind w:left="1440" w:hanging="480"/>
      </w:pPr>
      <w:rPr>
        <w:rFonts w:ascii="Wingdings" w:hAnsi="Wingdings" w:hint="default"/>
      </w:rPr>
    </w:lvl>
    <w:lvl w:ilvl="3" w:tplc="FFFFFFFF">
      <w:start w:val="1"/>
      <w:numFmt w:val="bullet"/>
      <w:lvlText w:val=""/>
      <w:lvlJc w:val="left"/>
      <w:pPr>
        <w:ind w:left="1920" w:hanging="480"/>
      </w:pPr>
      <w:rPr>
        <w:rFonts w:ascii="Wingdings" w:hAnsi="Wingdings" w:hint="default"/>
      </w:rPr>
    </w:lvl>
    <w:lvl w:ilvl="4" w:tplc="FFFFFFFF">
      <w:start w:val="1"/>
      <w:numFmt w:val="bullet"/>
      <w:lvlText w:val=""/>
      <w:lvlJc w:val="left"/>
      <w:pPr>
        <w:ind w:left="2400" w:hanging="480"/>
      </w:pPr>
      <w:rPr>
        <w:rFonts w:ascii="Wingdings" w:hAnsi="Wingdings" w:hint="default"/>
      </w:rPr>
    </w:lvl>
    <w:lvl w:ilvl="5" w:tplc="FFFFFFFF">
      <w:start w:val="1"/>
      <w:numFmt w:val="bullet"/>
      <w:lvlText w:val=""/>
      <w:lvlJc w:val="left"/>
      <w:pPr>
        <w:ind w:left="2880" w:hanging="480"/>
      </w:pPr>
      <w:rPr>
        <w:rFonts w:ascii="Wingdings" w:hAnsi="Wingdings" w:hint="default"/>
      </w:rPr>
    </w:lvl>
    <w:lvl w:ilvl="6" w:tplc="FFFFFFFF">
      <w:start w:val="1"/>
      <w:numFmt w:val="bullet"/>
      <w:lvlText w:val=""/>
      <w:lvlJc w:val="left"/>
      <w:pPr>
        <w:ind w:left="3360" w:hanging="480"/>
      </w:pPr>
      <w:rPr>
        <w:rFonts w:ascii="Wingdings" w:hAnsi="Wingdings" w:hint="default"/>
      </w:rPr>
    </w:lvl>
    <w:lvl w:ilvl="7" w:tplc="FFFFFFFF">
      <w:start w:val="1"/>
      <w:numFmt w:val="bullet"/>
      <w:lvlText w:val=""/>
      <w:lvlJc w:val="left"/>
      <w:pPr>
        <w:ind w:left="3840" w:hanging="480"/>
      </w:pPr>
      <w:rPr>
        <w:rFonts w:ascii="Wingdings" w:hAnsi="Wingdings" w:hint="default"/>
      </w:rPr>
    </w:lvl>
    <w:lvl w:ilvl="8" w:tplc="FFFFFFFF">
      <w:start w:val="1"/>
      <w:numFmt w:val="bullet"/>
      <w:lvlText w:val=""/>
      <w:lvlJc w:val="left"/>
      <w:pPr>
        <w:ind w:left="4320" w:hanging="480"/>
      </w:pPr>
      <w:rPr>
        <w:rFonts w:ascii="Wingdings" w:hAnsi="Wingdings" w:hint="default"/>
      </w:rPr>
    </w:lvl>
  </w:abstractNum>
  <w:abstractNum w:abstractNumId="17" w15:restartNumberingAfterBreak="0">
    <w:nsid w:val="73DA3ACA"/>
    <w:multiLevelType w:val="hybridMultilevel"/>
    <w:tmpl w:val="05AE54D2"/>
    <w:lvl w:ilvl="0" w:tplc="FFFFFFFF">
      <w:start w:val="1"/>
      <w:numFmt w:val="lowerRoman"/>
      <w:lvlText w:val="%1."/>
      <w:lvlJc w:val="left"/>
      <w:pPr>
        <w:ind w:left="720" w:hanging="72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7C8C67F9"/>
    <w:multiLevelType w:val="hybridMultilevel"/>
    <w:tmpl w:val="01E61422"/>
    <w:lvl w:ilvl="0" w:tplc="79C88626">
      <w:numFmt w:val="bullet"/>
      <w:lvlText w:val=""/>
      <w:lvlJc w:val="left"/>
      <w:pPr>
        <w:ind w:left="465" w:hanging="360"/>
      </w:pPr>
      <w:rPr>
        <w:rFonts w:ascii="Wingdings" w:eastAsia="新細明體" w:hAnsi="Wingdings" w:cs="Times New Roman" w:hint="default"/>
      </w:rPr>
    </w:lvl>
    <w:lvl w:ilvl="1" w:tplc="04090003" w:tentative="1">
      <w:start w:val="1"/>
      <w:numFmt w:val="bullet"/>
      <w:lvlText w:val=""/>
      <w:lvlJc w:val="left"/>
      <w:pPr>
        <w:ind w:left="1065" w:hanging="480"/>
      </w:pPr>
      <w:rPr>
        <w:rFonts w:ascii="Wingdings" w:hAnsi="Wingdings" w:hint="default"/>
      </w:rPr>
    </w:lvl>
    <w:lvl w:ilvl="2" w:tplc="04090005" w:tentative="1">
      <w:start w:val="1"/>
      <w:numFmt w:val="bullet"/>
      <w:lvlText w:val=""/>
      <w:lvlJc w:val="left"/>
      <w:pPr>
        <w:ind w:left="1545" w:hanging="480"/>
      </w:pPr>
      <w:rPr>
        <w:rFonts w:ascii="Wingdings" w:hAnsi="Wingdings" w:hint="default"/>
      </w:rPr>
    </w:lvl>
    <w:lvl w:ilvl="3" w:tplc="04090001" w:tentative="1">
      <w:start w:val="1"/>
      <w:numFmt w:val="bullet"/>
      <w:lvlText w:val=""/>
      <w:lvlJc w:val="left"/>
      <w:pPr>
        <w:ind w:left="2025" w:hanging="480"/>
      </w:pPr>
      <w:rPr>
        <w:rFonts w:ascii="Wingdings" w:hAnsi="Wingdings" w:hint="default"/>
      </w:rPr>
    </w:lvl>
    <w:lvl w:ilvl="4" w:tplc="04090003" w:tentative="1">
      <w:start w:val="1"/>
      <w:numFmt w:val="bullet"/>
      <w:lvlText w:val=""/>
      <w:lvlJc w:val="left"/>
      <w:pPr>
        <w:ind w:left="2505" w:hanging="480"/>
      </w:pPr>
      <w:rPr>
        <w:rFonts w:ascii="Wingdings" w:hAnsi="Wingdings" w:hint="default"/>
      </w:rPr>
    </w:lvl>
    <w:lvl w:ilvl="5" w:tplc="04090005" w:tentative="1">
      <w:start w:val="1"/>
      <w:numFmt w:val="bullet"/>
      <w:lvlText w:val=""/>
      <w:lvlJc w:val="left"/>
      <w:pPr>
        <w:ind w:left="2985" w:hanging="480"/>
      </w:pPr>
      <w:rPr>
        <w:rFonts w:ascii="Wingdings" w:hAnsi="Wingdings" w:hint="default"/>
      </w:rPr>
    </w:lvl>
    <w:lvl w:ilvl="6" w:tplc="04090001" w:tentative="1">
      <w:start w:val="1"/>
      <w:numFmt w:val="bullet"/>
      <w:lvlText w:val=""/>
      <w:lvlJc w:val="left"/>
      <w:pPr>
        <w:ind w:left="3465" w:hanging="480"/>
      </w:pPr>
      <w:rPr>
        <w:rFonts w:ascii="Wingdings" w:hAnsi="Wingdings" w:hint="default"/>
      </w:rPr>
    </w:lvl>
    <w:lvl w:ilvl="7" w:tplc="04090003" w:tentative="1">
      <w:start w:val="1"/>
      <w:numFmt w:val="bullet"/>
      <w:lvlText w:val=""/>
      <w:lvlJc w:val="left"/>
      <w:pPr>
        <w:ind w:left="3945" w:hanging="480"/>
      </w:pPr>
      <w:rPr>
        <w:rFonts w:ascii="Wingdings" w:hAnsi="Wingdings" w:hint="default"/>
      </w:rPr>
    </w:lvl>
    <w:lvl w:ilvl="8" w:tplc="04090005" w:tentative="1">
      <w:start w:val="1"/>
      <w:numFmt w:val="bullet"/>
      <w:lvlText w:val=""/>
      <w:lvlJc w:val="left"/>
      <w:pPr>
        <w:ind w:left="4425" w:hanging="480"/>
      </w:pPr>
      <w:rPr>
        <w:rFonts w:ascii="Wingdings" w:hAnsi="Wingdings" w:hint="default"/>
      </w:rPr>
    </w:lvl>
  </w:abstractNum>
  <w:num w:numId="1" w16cid:durableId="982584278">
    <w:abstractNumId w:val="15"/>
  </w:num>
  <w:num w:numId="2" w16cid:durableId="1810585209">
    <w:abstractNumId w:val="1"/>
  </w:num>
  <w:num w:numId="3" w16cid:durableId="424615414">
    <w:abstractNumId w:val="16"/>
  </w:num>
  <w:num w:numId="4" w16cid:durableId="156119618">
    <w:abstractNumId w:val="13"/>
  </w:num>
  <w:num w:numId="5" w16cid:durableId="156387600">
    <w:abstractNumId w:val="17"/>
  </w:num>
  <w:num w:numId="6" w16cid:durableId="20856429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877377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1058040">
    <w:abstractNumId w:val="9"/>
  </w:num>
  <w:num w:numId="9" w16cid:durableId="641733436">
    <w:abstractNumId w:val="7"/>
  </w:num>
  <w:num w:numId="10" w16cid:durableId="630785576">
    <w:abstractNumId w:val="5"/>
  </w:num>
  <w:num w:numId="11" w16cid:durableId="1174806791">
    <w:abstractNumId w:val="4"/>
  </w:num>
  <w:num w:numId="12" w16cid:durableId="508833565">
    <w:abstractNumId w:val="14"/>
  </w:num>
  <w:num w:numId="13" w16cid:durableId="2018191755">
    <w:abstractNumId w:val="2"/>
  </w:num>
  <w:num w:numId="14" w16cid:durableId="1685473324">
    <w:abstractNumId w:val="18"/>
  </w:num>
  <w:num w:numId="15" w16cid:durableId="396830484">
    <w:abstractNumId w:val="11"/>
  </w:num>
  <w:num w:numId="16" w16cid:durableId="1145314716">
    <w:abstractNumId w:val="3"/>
  </w:num>
  <w:num w:numId="17" w16cid:durableId="1263102404">
    <w:abstractNumId w:val="6"/>
  </w:num>
  <w:num w:numId="18" w16cid:durableId="808401313">
    <w:abstractNumId w:val="8"/>
  </w:num>
  <w:num w:numId="19" w16cid:durableId="831720489">
    <w:abstractNumId w:val="12"/>
  </w:num>
  <w:num w:numId="20" w16cid:durableId="1841895838">
    <w:abstractNumId w:val="0"/>
  </w:num>
  <w:num w:numId="21" w16cid:durableId="16544886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4E7"/>
    <w:rsid w:val="000007D6"/>
    <w:rsid w:val="0006127E"/>
    <w:rsid w:val="00065DE5"/>
    <w:rsid w:val="0009443D"/>
    <w:rsid w:val="00095000"/>
    <w:rsid w:val="000969E2"/>
    <w:rsid w:val="000E2535"/>
    <w:rsid w:val="001C3C81"/>
    <w:rsid w:val="001E50D1"/>
    <w:rsid w:val="001F230C"/>
    <w:rsid w:val="00224585"/>
    <w:rsid w:val="00235321"/>
    <w:rsid w:val="00244843"/>
    <w:rsid w:val="0027173B"/>
    <w:rsid w:val="0027264E"/>
    <w:rsid w:val="00273466"/>
    <w:rsid w:val="002A23B1"/>
    <w:rsid w:val="002C009F"/>
    <w:rsid w:val="002E57B0"/>
    <w:rsid w:val="002E5AA6"/>
    <w:rsid w:val="00301A89"/>
    <w:rsid w:val="00317FDE"/>
    <w:rsid w:val="0034696D"/>
    <w:rsid w:val="00353D10"/>
    <w:rsid w:val="00360458"/>
    <w:rsid w:val="0036511B"/>
    <w:rsid w:val="003B589B"/>
    <w:rsid w:val="003C62CE"/>
    <w:rsid w:val="004371FC"/>
    <w:rsid w:val="00442004"/>
    <w:rsid w:val="00467DF5"/>
    <w:rsid w:val="004D522C"/>
    <w:rsid w:val="0050057F"/>
    <w:rsid w:val="00547409"/>
    <w:rsid w:val="00570994"/>
    <w:rsid w:val="005B7EC5"/>
    <w:rsid w:val="005F52CC"/>
    <w:rsid w:val="00614805"/>
    <w:rsid w:val="00633E2C"/>
    <w:rsid w:val="006620E5"/>
    <w:rsid w:val="00676CCF"/>
    <w:rsid w:val="006D048D"/>
    <w:rsid w:val="00714B0A"/>
    <w:rsid w:val="00715928"/>
    <w:rsid w:val="00735A38"/>
    <w:rsid w:val="007B5678"/>
    <w:rsid w:val="007D44ED"/>
    <w:rsid w:val="007F20C4"/>
    <w:rsid w:val="007F319D"/>
    <w:rsid w:val="00802DC5"/>
    <w:rsid w:val="008205E2"/>
    <w:rsid w:val="00823DAC"/>
    <w:rsid w:val="0084143C"/>
    <w:rsid w:val="008604E7"/>
    <w:rsid w:val="00861DBB"/>
    <w:rsid w:val="00877E50"/>
    <w:rsid w:val="00880B33"/>
    <w:rsid w:val="008B761C"/>
    <w:rsid w:val="008D12F2"/>
    <w:rsid w:val="0090707A"/>
    <w:rsid w:val="00911506"/>
    <w:rsid w:val="0092431A"/>
    <w:rsid w:val="00941A2D"/>
    <w:rsid w:val="00986DD4"/>
    <w:rsid w:val="009C2E40"/>
    <w:rsid w:val="009C56C8"/>
    <w:rsid w:val="009E2CD8"/>
    <w:rsid w:val="00A12016"/>
    <w:rsid w:val="00A32D23"/>
    <w:rsid w:val="00A43D52"/>
    <w:rsid w:val="00A63551"/>
    <w:rsid w:val="00AB59CA"/>
    <w:rsid w:val="00AB6B8F"/>
    <w:rsid w:val="00AC38A6"/>
    <w:rsid w:val="00AF24A9"/>
    <w:rsid w:val="00AF3700"/>
    <w:rsid w:val="00B02D8B"/>
    <w:rsid w:val="00B054B1"/>
    <w:rsid w:val="00B12632"/>
    <w:rsid w:val="00BE3A33"/>
    <w:rsid w:val="00C62DAD"/>
    <w:rsid w:val="00C92B57"/>
    <w:rsid w:val="00CA1BFA"/>
    <w:rsid w:val="00CB4E14"/>
    <w:rsid w:val="00D109F3"/>
    <w:rsid w:val="00D16713"/>
    <w:rsid w:val="00D529DB"/>
    <w:rsid w:val="00D65A11"/>
    <w:rsid w:val="00D7640B"/>
    <w:rsid w:val="00DA3B3F"/>
    <w:rsid w:val="00DA402E"/>
    <w:rsid w:val="00DF3A98"/>
    <w:rsid w:val="00E10417"/>
    <w:rsid w:val="00E37E2F"/>
    <w:rsid w:val="00E84EBC"/>
    <w:rsid w:val="00E961C7"/>
    <w:rsid w:val="00EE46AE"/>
    <w:rsid w:val="00EE78DE"/>
    <w:rsid w:val="00F25574"/>
    <w:rsid w:val="00F35FEF"/>
    <w:rsid w:val="00F567AF"/>
    <w:rsid w:val="00F93CD0"/>
    <w:rsid w:val="00F9618B"/>
    <w:rsid w:val="00FA2D5E"/>
    <w:rsid w:val="00FF4C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5B3B2C"/>
  <w15:chartTrackingRefBased/>
  <w15:docId w15:val="{A5CECF85-8EFD-4AF0-BFF5-1A422908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kern w:val="2"/>
      <w:sz w:val="24"/>
      <w:szCs w:val="24"/>
    </w:rPr>
  </w:style>
  <w:style w:type="paragraph" w:styleId="2">
    <w:name w:val="heading 2"/>
    <w:basedOn w:val="a"/>
    <w:next w:val="a"/>
    <w:qFormat/>
    <w:rsid w:val="00AB59CA"/>
    <w:pPr>
      <w:keepNext/>
      <w:widowControl/>
      <w:jc w:val="center"/>
      <w:outlineLvl w:val="1"/>
    </w:pPr>
    <w:rPr>
      <w:b/>
      <w:bCs/>
      <w:kern w:val="0"/>
      <w:szCs w:val="20"/>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pacing w:beforeLines="100" w:before="360" w:afterLines="100" w:after="360"/>
      <w:ind w:firstLineChars="150" w:firstLine="360"/>
    </w:pPr>
  </w:style>
  <w:style w:type="character" w:styleId="a4">
    <w:name w:val="Hyperlink"/>
    <w:uiPriority w:val="99"/>
    <w:rPr>
      <w:color w:val="0000FF"/>
      <w:u w:val="single"/>
    </w:rPr>
  </w:style>
  <w:style w:type="paragraph" w:styleId="a5">
    <w:name w:val="header"/>
    <w:basedOn w:val="a"/>
    <w:link w:val="a6"/>
    <w:uiPriority w:val="99"/>
    <w:pPr>
      <w:tabs>
        <w:tab w:val="center" w:pos="4153"/>
        <w:tab w:val="right" w:pos="8306"/>
      </w:tabs>
      <w:snapToGrid w:val="0"/>
    </w:pPr>
    <w:rPr>
      <w:sz w:val="20"/>
      <w:szCs w:val="20"/>
    </w:rPr>
  </w:style>
  <w:style w:type="paragraph" w:styleId="a7">
    <w:name w:val="footer"/>
    <w:basedOn w:val="a"/>
    <w:link w:val="a8"/>
    <w:uiPriority w:val="99"/>
    <w:pPr>
      <w:tabs>
        <w:tab w:val="center" w:pos="4153"/>
        <w:tab w:val="right" w:pos="8306"/>
      </w:tabs>
      <w:snapToGrid w:val="0"/>
    </w:pPr>
    <w:rPr>
      <w:sz w:val="20"/>
      <w:szCs w:val="20"/>
    </w:rPr>
  </w:style>
  <w:style w:type="character" w:styleId="a9">
    <w:name w:val="page number"/>
    <w:basedOn w:val="a0"/>
  </w:style>
  <w:style w:type="paragraph" w:styleId="aa">
    <w:name w:val="Balloon Text"/>
    <w:basedOn w:val="a"/>
    <w:link w:val="ab"/>
    <w:uiPriority w:val="99"/>
    <w:semiHidden/>
    <w:rPr>
      <w:rFonts w:ascii="Arial" w:hAnsi="Arial"/>
      <w:sz w:val="18"/>
      <w:szCs w:val="18"/>
    </w:rPr>
  </w:style>
  <w:style w:type="character" w:styleId="ac">
    <w:name w:val="FollowedHyperlink"/>
    <w:semiHidden/>
    <w:rPr>
      <w:color w:val="800080"/>
      <w:u w:val="single"/>
    </w:rPr>
  </w:style>
  <w:style w:type="paragraph" w:customStyle="1" w:styleId="24">
    <w:name w:val="標題 24"/>
    <w:basedOn w:val="a"/>
    <w:pPr>
      <w:widowControl/>
      <w:pBdr>
        <w:top w:val="single" w:sz="6" w:space="6" w:color="CCCCCC"/>
        <w:left w:val="single" w:sz="6" w:space="6" w:color="CCCCCC"/>
        <w:bottom w:val="single" w:sz="6" w:space="6" w:color="CCCCCC"/>
        <w:right w:val="single" w:sz="6" w:space="6" w:color="CCCCCC"/>
      </w:pBdr>
      <w:shd w:val="clear" w:color="auto" w:fill="F0F8FF"/>
      <w:spacing w:before="240" w:after="240"/>
      <w:outlineLvl w:val="2"/>
    </w:pPr>
    <w:rPr>
      <w:rFonts w:ascii="Arial" w:hAnsi="Arial" w:cs="Arial"/>
      <w:b/>
      <w:bCs/>
      <w:kern w:val="0"/>
      <w:sz w:val="23"/>
      <w:szCs w:val="23"/>
    </w:rPr>
  </w:style>
  <w:style w:type="character" w:customStyle="1" w:styleId="name1">
    <w:name w:val="name1"/>
    <w:rPr>
      <w:rFonts w:ascii="Arial" w:hAnsi="Arial" w:cs="Arial" w:hint="default"/>
      <w:color w:val="333333"/>
      <w:sz w:val="18"/>
      <w:szCs w:val="18"/>
    </w:rPr>
  </w:style>
  <w:style w:type="paragraph" w:styleId="ad">
    <w:name w:val="Body Text"/>
    <w:basedOn w:val="a"/>
    <w:semiHidden/>
    <w:pPr>
      <w:spacing w:line="480" w:lineRule="exact"/>
      <w:ind w:right="23"/>
      <w:jc w:val="both"/>
    </w:pPr>
    <w:rPr>
      <w:rFonts w:ascii="標楷體" w:eastAsia="標楷體" w:hAnsi="標楷體"/>
      <w:b/>
      <w:color w:val="000000"/>
      <w:sz w:val="36"/>
      <w:szCs w:val="36"/>
    </w:rPr>
  </w:style>
  <w:style w:type="paragraph" w:styleId="ae">
    <w:name w:val="Date"/>
    <w:basedOn w:val="a"/>
    <w:next w:val="a"/>
    <w:rsid w:val="00911506"/>
    <w:pPr>
      <w:jc w:val="right"/>
    </w:pPr>
  </w:style>
  <w:style w:type="character" w:customStyle="1" w:styleId="apple-style-span">
    <w:name w:val="apple-style-span"/>
    <w:basedOn w:val="a0"/>
    <w:rsid w:val="000007D6"/>
  </w:style>
  <w:style w:type="paragraph" w:styleId="af">
    <w:name w:val="Title"/>
    <w:basedOn w:val="a"/>
    <w:next w:val="a"/>
    <w:link w:val="af0"/>
    <w:uiPriority w:val="10"/>
    <w:qFormat/>
    <w:rsid w:val="00235321"/>
    <w:pPr>
      <w:spacing w:before="240" w:after="60"/>
      <w:jc w:val="center"/>
      <w:outlineLvl w:val="0"/>
    </w:pPr>
    <w:rPr>
      <w:rFonts w:ascii="Cambria" w:hAnsi="Cambria"/>
      <w:b/>
      <w:bCs/>
      <w:kern w:val="0"/>
      <w:sz w:val="32"/>
      <w:szCs w:val="32"/>
      <w:lang w:val="x-none" w:eastAsia="x-none"/>
    </w:rPr>
  </w:style>
  <w:style w:type="character" w:customStyle="1" w:styleId="af0">
    <w:name w:val="標題 字元"/>
    <w:link w:val="af"/>
    <w:uiPriority w:val="10"/>
    <w:rsid w:val="00235321"/>
    <w:rPr>
      <w:rFonts w:ascii="Cambria" w:hAnsi="Cambria"/>
      <w:b/>
      <w:bCs/>
      <w:sz w:val="32"/>
      <w:szCs w:val="32"/>
      <w:lang w:val="x-none" w:eastAsia="x-none"/>
    </w:rPr>
  </w:style>
  <w:style w:type="character" w:customStyle="1" w:styleId="TitleChar">
    <w:name w:val="Title Char"/>
    <w:rsid w:val="00235321"/>
    <w:rPr>
      <w:rFonts w:ascii="Cambria" w:eastAsia="新細明體" w:hAnsi="Cambria" w:cs="Times New Roman"/>
      <w:b/>
      <w:bCs/>
      <w:noProof w:val="0"/>
      <w:kern w:val="0"/>
      <w:sz w:val="32"/>
      <w:szCs w:val="32"/>
      <w:lang w:val="x-none" w:eastAsia="x-none"/>
    </w:rPr>
  </w:style>
  <w:style w:type="character" w:customStyle="1" w:styleId="a6">
    <w:name w:val="頁首 字元"/>
    <w:link w:val="a5"/>
    <w:uiPriority w:val="99"/>
    <w:rsid w:val="00235321"/>
    <w:rPr>
      <w:kern w:val="2"/>
    </w:rPr>
  </w:style>
  <w:style w:type="character" w:customStyle="1" w:styleId="HeaderChar">
    <w:name w:val="Header Char"/>
    <w:rsid w:val="00235321"/>
    <w:rPr>
      <w:rFonts w:ascii="Calibri" w:eastAsia="新細明體" w:hAnsi="Calibri" w:cs="Times New Roman"/>
      <w:noProof w:val="0"/>
      <w:kern w:val="0"/>
      <w:sz w:val="20"/>
      <w:szCs w:val="20"/>
      <w:lang w:val="x-none" w:eastAsia="x-none"/>
    </w:rPr>
  </w:style>
  <w:style w:type="character" w:customStyle="1" w:styleId="a8">
    <w:name w:val="頁尾 字元"/>
    <w:link w:val="a7"/>
    <w:uiPriority w:val="99"/>
    <w:rsid w:val="00235321"/>
    <w:rPr>
      <w:kern w:val="2"/>
    </w:rPr>
  </w:style>
  <w:style w:type="character" w:customStyle="1" w:styleId="FooterChar">
    <w:name w:val="Footer Char"/>
    <w:rsid w:val="00235321"/>
    <w:rPr>
      <w:rFonts w:ascii="Calibri" w:eastAsia="新細明體" w:hAnsi="Calibri" w:cs="Times New Roman"/>
      <w:noProof w:val="0"/>
      <w:kern w:val="0"/>
      <w:sz w:val="20"/>
      <w:szCs w:val="20"/>
      <w:lang w:val="x-none" w:eastAsia="x-none"/>
    </w:rPr>
  </w:style>
  <w:style w:type="paragraph" w:styleId="af1">
    <w:name w:val="Document Map"/>
    <w:basedOn w:val="a"/>
    <w:link w:val="af2"/>
    <w:uiPriority w:val="99"/>
    <w:semiHidden/>
    <w:unhideWhenUsed/>
    <w:rsid w:val="00235321"/>
    <w:rPr>
      <w:rFonts w:ascii="新細明體" w:hAnsi="Calibri"/>
      <w:kern w:val="0"/>
      <w:sz w:val="18"/>
      <w:szCs w:val="18"/>
      <w:lang w:val="x-none" w:eastAsia="x-none"/>
    </w:rPr>
  </w:style>
  <w:style w:type="character" w:customStyle="1" w:styleId="af2">
    <w:name w:val="文件引導模式 字元"/>
    <w:link w:val="af1"/>
    <w:uiPriority w:val="99"/>
    <w:semiHidden/>
    <w:rsid w:val="00235321"/>
    <w:rPr>
      <w:rFonts w:ascii="新細明體" w:hAnsi="Calibri"/>
      <w:sz w:val="18"/>
      <w:szCs w:val="18"/>
      <w:lang w:val="x-none" w:eastAsia="x-none"/>
    </w:rPr>
  </w:style>
  <w:style w:type="character" w:customStyle="1" w:styleId="DocumentMapChar">
    <w:name w:val="Document Map Char"/>
    <w:semiHidden/>
    <w:rsid w:val="00235321"/>
    <w:rPr>
      <w:rFonts w:ascii="新細明體" w:eastAsia="新細明體" w:hAnsi="Calibri" w:cs="Times New Roman"/>
      <w:noProof w:val="0"/>
      <w:kern w:val="0"/>
      <w:sz w:val="18"/>
      <w:szCs w:val="18"/>
      <w:lang w:val="x-none" w:eastAsia="x-none"/>
    </w:rPr>
  </w:style>
  <w:style w:type="character" w:customStyle="1" w:styleId="ab">
    <w:name w:val="註解方塊文字 字元"/>
    <w:link w:val="aa"/>
    <w:uiPriority w:val="99"/>
    <w:semiHidden/>
    <w:rsid w:val="00235321"/>
    <w:rPr>
      <w:rFonts w:ascii="Arial" w:hAnsi="Arial"/>
      <w:kern w:val="2"/>
      <w:sz w:val="18"/>
      <w:szCs w:val="18"/>
    </w:rPr>
  </w:style>
  <w:style w:type="character" w:customStyle="1" w:styleId="BalloonTextChar">
    <w:name w:val="Balloon Text Char"/>
    <w:semiHidden/>
    <w:rsid w:val="00235321"/>
    <w:rPr>
      <w:rFonts w:ascii="Cambria" w:eastAsia="新細明體" w:hAnsi="Cambria" w:cs="Times New Roman"/>
      <w:noProof w:val="0"/>
      <w:sz w:val="18"/>
      <w:szCs w:val="18"/>
      <w:lang w:val="x-none" w:eastAsia="x-none"/>
    </w:rPr>
  </w:style>
  <w:style w:type="character" w:styleId="af3">
    <w:name w:val="annotation reference"/>
    <w:uiPriority w:val="99"/>
    <w:semiHidden/>
    <w:unhideWhenUsed/>
    <w:rsid w:val="00235321"/>
    <w:rPr>
      <w:sz w:val="18"/>
      <w:szCs w:val="18"/>
    </w:rPr>
  </w:style>
  <w:style w:type="paragraph" w:styleId="af4">
    <w:name w:val="annotation text"/>
    <w:basedOn w:val="a"/>
    <w:link w:val="af5"/>
    <w:uiPriority w:val="99"/>
    <w:semiHidden/>
    <w:unhideWhenUsed/>
    <w:rsid w:val="00235321"/>
    <w:rPr>
      <w:rFonts w:ascii="Calibri" w:hAnsi="Calibri"/>
      <w:szCs w:val="22"/>
      <w:lang w:val="x-none" w:eastAsia="x-none"/>
    </w:rPr>
  </w:style>
  <w:style w:type="character" w:customStyle="1" w:styleId="af5">
    <w:name w:val="註解文字 字元"/>
    <w:link w:val="af4"/>
    <w:uiPriority w:val="99"/>
    <w:semiHidden/>
    <w:rsid w:val="00235321"/>
    <w:rPr>
      <w:rFonts w:ascii="Calibri" w:hAnsi="Calibri"/>
      <w:kern w:val="2"/>
      <w:sz w:val="24"/>
      <w:szCs w:val="22"/>
      <w:lang w:val="x-none" w:eastAsia="x-none"/>
    </w:rPr>
  </w:style>
  <w:style w:type="character" w:customStyle="1" w:styleId="CommentTextChar">
    <w:name w:val="Comment Text Char"/>
    <w:semiHidden/>
    <w:rsid w:val="00235321"/>
    <w:rPr>
      <w:rFonts w:ascii="Calibri" w:eastAsia="新細明體" w:hAnsi="Calibri" w:cs="Times New Roman"/>
      <w:noProof w:val="0"/>
      <w:lang w:val="x-none" w:eastAsia="x-none"/>
    </w:rPr>
  </w:style>
  <w:style w:type="paragraph" w:styleId="af6">
    <w:name w:val="annotation subject"/>
    <w:basedOn w:val="af4"/>
    <w:next w:val="af4"/>
    <w:link w:val="af7"/>
    <w:uiPriority w:val="99"/>
    <w:semiHidden/>
    <w:unhideWhenUsed/>
    <w:rsid w:val="00235321"/>
    <w:rPr>
      <w:b/>
      <w:bCs/>
    </w:rPr>
  </w:style>
  <w:style w:type="character" w:customStyle="1" w:styleId="af7">
    <w:name w:val="註解主旨 字元"/>
    <w:link w:val="af6"/>
    <w:uiPriority w:val="99"/>
    <w:semiHidden/>
    <w:rsid w:val="00235321"/>
    <w:rPr>
      <w:rFonts w:ascii="Calibri" w:hAnsi="Calibri"/>
      <w:b/>
      <w:bCs/>
      <w:kern w:val="2"/>
      <w:sz w:val="24"/>
      <w:szCs w:val="22"/>
      <w:lang w:val="x-none" w:eastAsia="x-none"/>
    </w:rPr>
  </w:style>
  <w:style w:type="character" w:customStyle="1" w:styleId="CommentSubjectChar">
    <w:name w:val="Comment Subject Char"/>
    <w:semiHidden/>
    <w:rsid w:val="00235321"/>
    <w:rPr>
      <w:rFonts w:ascii="Calibri" w:eastAsia="新細明體" w:hAnsi="Calibri" w:cs="Times New Roman"/>
      <w:b/>
      <w:bCs/>
      <w:noProof w:val="0"/>
      <w:lang w:val="x-none" w:eastAsia="x-none"/>
    </w:rPr>
  </w:style>
  <w:style w:type="paragraph" w:styleId="af8">
    <w:name w:val="Revision"/>
    <w:hidden/>
    <w:uiPriority w:val="99"/>
    <w:semiHidden/>
    <w:rsid w:val="00235321"/>
    <w:rPr>
      <w:rFonts w:ascii="Calibri" w:hAnsi="Calibri"/>
      <w:kern w:val="2"/>
      <w:sz w:val="24"/>
      <w:szCs w:val="22"/>
    </w:rPr>
  </w:style>
  <w:style w:type="character" w:styleId="af9">
    <w:name w:val="line number"/>
    <w:uiPriority w:val="99"/>
    <w:semiHidden/>
    <w:unhideWhenUsed/>
    <w:rsid w:val="00235321"/>
  </w:style>
  <w:style w:type="paragraph" w:customStyle="1" w:styleId="EndNoteBibliographyTitle">
    <w:name w:val="EndNote Bibliography Title"/>
    <w:basedOn w:val="a"/>
    <w:link w:val="EndNoteBibliographyTitle0"/>
    <w:rsid w:val="00235321"/>
    <w:pPr>
      <w:jc w:val="center"/>
    </w:pPr>
    <w:rPr>
      <w:noProof/>
      <w:szCs w:val="22"/>
    </w:rPr>
  </w:style>
  <w:style w:type="character" w:customStyle="1" w:styleId="EndNoteBibliographyTitle0">
    <w:name w:val="EndNote Bibliography Title 字元"/>
    <w:link w:val="EndNoteBibliographyTitle"/>
    <w:rsid w:val="00235321"/>
    <w:rPr>
      <w:noProof/>
      <w:kern w:val="2"/>
      <w:sz w:val="24"/>
      <w:szCs w:val="22"/>
    </w:rPr>
  </w:style>
  <w:style w:type="paragraph" w:customStyle="1" w:styleId="EndNoteBibliography">
    <w:name w:val="EndNote Bibliography"/>
    <w:basedOn w:val="a"/>
    <w:link w:val="EndNoteBibliography0"/>
    <w:rsid w:val="00235321"/>
    <w:pPr>
      <w:jc w:val="both"/>
    </w:pPr>
    <w:rPr>
      <w:noProof/>
      <w:szCs w:val="22"/>
    </w:rPr>
  </w:style>
  <w:style w:type="character" w:customStyle="1" w:styleId="EndNoteBibliography0">
    <w:name w:val="EndNote Bibliography 字元"/>
    <w:link w:val="EndNoteBibliography"/>
    <w:rsid w:val="00235321"/>
    <w:rPr>
      <w:noProof/>
      <w:kern w:val="2"/>
      <w:sz w:val="24"/>
      <w:szCs w:val="22"/>
    </w:rPr>
  </w:style>
  <w:style w:type="character" w:styleId="afa">
    <w:name w:val="Subtle Emphasis"/>
    <w:uiPriority w:val="19"/>
    <w:qFormat/>
    <w:rsid w:val="00235321"/>
    <w:rPr>
      <w:i/>
      <w:iCs/>
      <w:color w:val="808080"/>
    </w:rPr>
  </w:style>
  <w:style w:type="table" w:styleId="afb">
    <w:name w:val="Table Grid"/>
    <w:basedOn w:val="a1"/>
    <w:uiPriority w:val="39"/>
    <w:rsid w:val="00FF4C5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Strong"/>
    <w:uiPriority w:val="22"/>
    <w:qFormat/>
    <w:rsid w:val="00570994"/>
    <w:rPr>
      <w:b/>
      <w:bCs/>
    </w:rPr>
  </w:style>
  <w:style w:type="numbering" w:customStyle="1" w:styleId="1">
    <w:name w:val="無清單1"/>
    <w:next w:val="a2"/>
    <w:uiPriority w:val="99"/>
    <w:semiHidden/>
    <w:unhideWhenUsed/>
    <w:rsid w:val="00EE46AE"/>
  </w:style>
  <w:style w:type="table" w:customStyle="1" w:styleId="10">
    <w:name w:val="表格格線1"/>
    <w:basedOn w:val="a1"/>
    <w:next w:val="afb"/>
    <w:uiPriority w:val="59"/>
    <w:rsid w:val="00EE46A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List Paragraph"/>
    <w:basedOn w:val="a"/>
    <w:uiPriority w:val="34"/>
    <w:qFormat/>
    <w:rsid w:val="00EE46AE"/>
    <w:pPr>
      <w:ind w:leftChars="200" w:left="480"/>
    </w:pPr>
    <w:rPr>
      <w:rFonts w:ascii="Calibri" w:hAnsi="Calibri"/>
      <w:szCs w:val="22"/>
    </w:rPr>
  </w:style>
  <w:style w:type="paragraph" w:styleId="20">
    <w:name w:val="Body Text 2"/>
    <w:basedOn w:val="a"/>
    <w:link w:val="21"/>
    <w:rsid w:val="00EE46AE"/>
    <w:pPr>
      <w:autoSpaceDE w:val="0"/>
      <w:autoSpaceDN w:val="0"/>
      <w:adjustRightInd w:val="0"/>
    </w:pPr>
    <w:rPr>
      <w:rFonts w:eastAsia="SimSun"/>
      <w:szCs w:val="22"/>
      <w:lang w:eastAsia="zh-CN"/>
    </w:rPr>
  </w:style>
  <w:style w:type="character" w:customStyle="1" w:styleId="21">
    <w:name w:val="本文 2 字元"/>
    <w:link w:val="20"/>
    <w:rsid w:val="00EE46AE"/>
    <w:rPr>
      <w:rFonts w:eastAsia="SimSun"/>
      <w:kern w:val="2"/>
      <w:sz w:val="24"/>
      <w:szCs w:val="22"/>
      <w:lang w:eastAsia="zh-CN"/>
    </w:rPr>
  </w:style>
  <w:style w:type="paragraph" w:customStyle="1" w:styleId="Compact">
    <w:name w:val="Compact"/>
    <w:basedOn w:val="ad"/>
    <w:qFormat/>
    <w:rsid w:val="00EE46AE"/>
    <w:pPr>
      <w:widowControl/>
      <w:spacing w:before="36" w:after="36" w:line="240" w:lineRule="auto"/>
      <w:ind w:right="0"/>
      <w:jc w:val="left"/>
    </w:pPr>
    <w:rPr>
      <w:rFonts w:ascii="Calibri" w:eastAsia="新細明體" w:hAnsi="Calibri"/>
      <w:b w:val="0"/>
      <w:color w:val="auto"/>
      <w:kern w:val="0"/>
      <w:sz w:val="24"/>
      <w:szCs w:val="24"/>
      <w:lang w:eastAsia="en-US"/>
    </w:rPr>
  </w:style>
  <w:style w:type="table" w:customStyle="1" w:styleId="22">
    <w:name w:val="表格格線2"/>
    <w:basedOn w:val="a1"/>
    <w:next w:val="afb"/>
    <w:uiPriority w:val="39"/>
    <w:rsid w:val="00F93CD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semiHidden/>
    <w:unhideWhenUsed/>
    <w:rsid w:val="003C62CE"/>
    <w:pPr>
      <w:widowControl/>
      <w:spacing w:before="100" w:beforeAutospacing="1" w:after="100" w:afterAutospacing="1"/>
    </w:pPr>
    <w:rPr>
      <w:rFonts w:ascii="新細明體" w:hAnsi="新細明體" w:cs="新細明體"/>
      <w:kern w:val="0"/>
    </w:rPr>
  </w:style>
  <w:style w:type="table" w:customStyle="1" w:styleId="3">
    <w:name w:val="表格格線3"/>
    <w:basedOn w:val="a1"/>
    <w:next w:val="afb"/>
    <w:uiPriority w:val="39"/>
    <w:rsid w:val="00880B33"/>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a1"/>
    <w:next w:val="afb"/>
    <w:uiPriority w:val="39"/>
    <w:rsid w:val="00614805"/>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2"/>
    <w:basedOn w:val="a1"/>
    <w:next w:val="afb"/>
    <w:uiPriority w:val="39"/>
    <w:rsid w:val="00614805"/>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26279">
      <w:bodyDiv w:val="1"/>
      <w:marLeft w:val="0"/>
      <w:marRight w:val="0"/>
      <w:marTop w:val="0"/>
      <w:marBottom w:val="0"/>
      <w:divBdr>
        <w:top w:val="none" w:sz="0" w:space="0" w:color="auto"/>
        <w:left w:val="none" w:sz="0" w:space="0" w:color="auto"/>
        <w:bottom w:val="none" w:sz="0" w:space="0" w:color="auto"/>
        <w:right w:val="none" w:sz="0" w:space="0" w:color="auto"/>
      </w:divBdr>
    </w:div>
    <w:div w:id="477308277">
      <w:bodyDiv w:val="1"/>
      <w:marLeft w:val="0"/>
      <w:marRight w:val="0"/>
      <w:marTop w:val="0"/>
      <w:marBottom w:val="0"/>
      <w:divBdr>
        <w:top w:val="none" w:sz="0" w:space="0" w:color="auto"/>
        <w:left w:val="none" w:sz="0" w:space="0" w:color="auto"/>
        <w:bottom w:val="none" w:sz="0" w:space="0" w:color="auto"/>
        <w:right w:val="none" w:sz="0" w:space="0" w:color="auto"/>
      </w:divBdr>
    </w:div>
    <w:div w:id="1614823473">
      <w:bodyDiv w:val="1"/>
      <w:marLeft w:val="0"/>
      <w:marRight w:val="0"/>
      <w:marTop w:val="0"/>
      <w:marBottom w:val="0"/>
      <w:divBdr>
        <w:top w:val="none" w:sz="0" w:space="0" w:color="auto"/>
        <w:left w:val="none" w:sz="0" w:space="0" w:color="auto"/>
        <w:bottom w:val="none" w:sz="0" w:space="0" w:color="auto"/>
        <w:right w:val="none" w:sz="0" w:space="0" w:color="auto"/>
      </w:divBdr>
    </w:div>
    <w:div w:id="1644119832">
      <w:bodyDiv w:val="1"/>
      <w:marLeft w:val="0"/>
      <w:marRight w:val="0"/>
      <w:marTop w:val="0"/>
      <w:marBottom w:val="0"/>
      <w:divBdr>
        <w:top w:val="none" w:sz="0" w:space="0" w:color="auto"/>
        <w:left w:val="none" w:sz="0" w:space="0" w:color="auto"/>
        <w:bottom w:val="none" w:sz="0" w:space="0" w:color="auto"/>
        <w:right w:val="none" w:sz="0" w:space="0" w:color="auto"/>
      </w:divBdr>
    </w:div>
    <w:div w:id="166227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CCBB6-1E49-4DA4-8894-64A291A3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33</Pages>
  <Words>4910</Words>
  <Characters>27992</Characters>
  <Application>Microsoft Office Word</Application>
  <DocSecurity>0</DocSecurity>
  <Lines>233</Lines>
  <Paragraphs>65</Paragraphs>
  <ScaleCrop>false</ScaleCrop>
  <Company>Earth</Company>
  <LinksUpToDate>false</LinksUpToDate>
  <CharactersWithSpaces>32837</CharactersWithSpaces>
  <SharedDoc>false</SharedDoc>
  <HLinks>
    <vt:vector size="72" baseType="variant">
      <vt:variant>
        <vt:i4>4390923</vt:i4>
      </vt:variant>
      <vt:variant>
        <vt:i4>33</vt:i4>
      </vt:variant>
      <vt:variant>
        <vt:i4>0</vt:i4>
      </vt:variant>
      <vt:variant>
        <vt:i4>5</vt:i4>
      </vt:variant>
      <vt:variant>
        <vt:lpwstr/>
      </vt:variant>
      <vt:variant>
        <vt:lpwstr>_ENREF_20</vt:lpwstr>
      </vt:variant>
      <vt:variant>
        <vt:i4>4390923</vt:i4>
      </vt:variant>
      <vt:variant>
        <vt:i4>30</vt:i4>
      </vt:variant>
      <vt:variant>
        <vt:i4>0</vt:i4>
      </vt:variant>
      <vt:variant>
        <vt:i4>5</vt:i4>
      </vt:variant>
      <vt:variant>
        <vt:lpwstr/>
      </vt:variant>
      <vt:variant>
        <vt:lpwstr>_ENREF_20</vt:lpwstr>
      </vt:variant>
      <vt:variant>
        <vt:i4>4390923</vt:i4>
      </vt:variant>
      <vt:variant>
        <vt:i4>27</vt:i4>
      </vt:variant>
      <vt:variant>
        <vt:i4>0</vt:i4>
      </vt:variant>
      <vt:variant>
        <vt:i4>5</vt:i4>
      </vt:variant>
      <vt:variant>
        <vt:lpwstr/>
      </vt:variant>
      <vt:variant>
        <vt:lpwstr>_ENREF_2</vt:lpwstr>
      </vt:variant>
      <vt:variant>
        <vt:i4>4325387</vt:i4>
      </vt:variant>
      <vt:variant>
        <vt:i4>24</vt:i4>
      </vt:variant>
      <vt:variant>
        <vt:i4>0</vt:i4>
      </vt:variant>
      <vt:variant>
        <vt:i4>5</vt:i4>
      </vt:variant>
      <vt:variant>
        <vt:lpwstr/>
      </vt:variant>
      <vt:variant>
        <vt:lpwstr>_ENREF_37</vt:lpwstr>
      </vt:variant>
      <vt:variant>
        <vt:i4>4390923</vt:i4>
      </vt:variant>
      <vt:variant>
        <vt:i4>21</vt:i4>
      </vt:variant>
      <vt:variant>
        <vt:i4>0</vt:i4>
      </vt:variant>
      <vt:variant>
        <vt:i4>5</vt:i4>
      </vt:variant>
      <vt:variant>
        <vt:lpwstr/>
      </vt:variant>
      <vt:variant>
        <vt:lpwstr>_ENREF_25</vt:lpwstr>
      </vt:variant>
      <vt:variant>
        <vt:i4>4390923</vt:i4>
      </vt:variant>
      <vt:variant>
        <vt:i4>18</vt:i4>
      </vt:variant>
      <vt:variant>
        <vt:i4>0</vt:i4>
      </vt:variant>
      <vt:variant>
        <vt:i4>5</vt:i4>
      </vt:variant>
      <vt:variant>
        <vt:lpwstr/>
      </vt:variant>
      <vt:variant>
        <vt:lpwstr>_ENREF_25</vt:lpwstr>
      </vt:variant>
      <vt:variant>
        <vt:i4>4390923</vt:i4>
      </vt:variant>
      <vt:variant>
        <vt:i4>15</vt:i4>
      </vt:variant>
      <vt:variant>
        <vt:i4>0</vt:i4>
      </vt:variant>
      <vt:variant>
        <vt:i4>5</vt:i4>
      </vt:variant>
      <vt:variant>
        <vt:lpwstr/>
      </vt:variant>
      <vt:variant>
        <vt:lpwstr>_ENREF_21</vt:lpwstr>
      </vt:variant>
      <vt:variant>
        <vt:i4>4194315</vt:i4>
      </vt:variant>
      <vt:variant>
        <vt:i4>12</vt:i4>
      </vt:variant>
      <vt:variant>
        <vt:i4>0</vt:i4>
      </vt:variant>
      <vt:variant>
        <vt:i4>5</vt:i4>
      </vt:variant>
      <vt:variant>
        <vt:lpwstr/>
      </vt:variant>
      <vt:variant>
        <vt:lpwstr>_ENREF_17</vt:lpwstr>
      </vt:variant>
      <vt:variant>
        <vt:i4>4194315</vt:i4>
      </vt:variant>
      <vt:variant>
        <vt:i4>9</vt:i4>
      </vt:variant>
      <vt:variant>
        <vt:i4>0</vt:i4>
      </vt:variant>
      <vt:variant>
        <vt:i4>5</vt:i4>
      </vt:variant>
      <vt:variant>
        <vt:lpwstr/>
      </vt:variant>
      <vt:variant>
        <vt:lpwstr>_ENREF_12</vt:lpwstr>
      </vt:variant>
      <vt:variant>
        <vt:i4>4718603</vt:i4>
      </vt:variant>
      <vt:variant>
        <vt:i4>6</vt:i4>
      </vt:variant>
      <vt:variant>
        <vt:i4>0</vt:i4>
      </vt:variant>
      <vt:variant>
        <vt:i4>5</vt:i4>
      </vt:variant>
      <vt:variant>
        <vt:lpwstr/>
      </vt:variant>
      <vt:variant>
        <vt:lpwstr>_ENREF_9</vt:lpwstr>
      </vt:variant>
      <vt:variant>
        <vt:i4>4587531</vt:i4>
      </vt:variant>
      <vt:variant>
        <vt:i4>3</vt:i4>
      </vt:variant>
      <vt:variant>
        <vt:i4>0</vt:i4>
      </vt:variant>
      <vt:variant>
        <vt:i4>5</vt:i4>
      </vt:variant>
      <vt:variant>
        <vt:lpwstr/>
      </vt:variant>
      <vt:variant>
        <vt:lpwstr>_ENREF_7</vt:lpwstr>
      </vt:variant>
      <vt:variant>
        <vt:i4>4325387</vt:i4>
      </vt:variant>
      <vt:variant>
        <vt:i4>0</vt:i4>
      </vt:variant>
      <vt:variant>
        <vt:i4>0</vt:i4>
      </vt:variant>
      <vt:variant>
        <vt:i4>5</vt:i4>
      </vt:variant>
      <vt:variant>
        <vt:lpwstr/>
      </vt:variant>
      <vt:variant>
        <vt:lpwstr>_ENREF_3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Prospective comparison of ulcer recurrence between uremic and non-uremic patients with peptic ulcer after eradication of Helic</dc:title>
  <dc:subject/>
  <dc:creator>USER</dc:creator>
  <cp:keywords/>
  <cp:lastModifiedBy>Holden Hsu</cp:lastModifiedBy>
  <cp:revision>5</cp:revision>
  <cp:lastPrinted>2009-01-05T23:24:00Z</cp:lastPrinted>
  <dcterms:created xsi:type="dcterms:W3CDTF">2023-09-29T01:52:00Z</dcterms:created>
  <dcterms:modified xsi:type="dcterms:W3CDTF">2023-09-29T02:46:00Z</dcterms:modified>
</cp:coreProperties>
</file>