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D7" w:rsidRDefault="00F552D7">
      <w:pPr>
        <w:spacing w:line="520" w:lineRule="exact"/>
        <w:jc w:val="center"/>
        <w:rPr>
          <w:rFonts w:eastAsia="標楷體"/>
          <w:b/>
          <w:spacing w:val="34"/>
          <w:sz w:val="38"/>
        </w:rPr>
      </w:pPr>
      <w:r>
        <w:rPr>
          <w:rFonts w:eastAsia="標楷體" w:hint="eastAsia"/>
          <w:b/>
          <w:spacing w:val="34"/>
          <w:sz w:val="38"/>
        </w:rPr>
        <w:t>財團法人明日醫學基金會研究計畫申請書</w:t>
      </w:r>
    </w:p>
    <w:p w:rsidR="00F552D7" w:rsidRDefault="00F552D7">
      <w:pPr>
        <w:spacing w:line="400" w:lineRule="exact"/>
        <w:jc w:val="center"/>
        <w:rPr>
          <w:rFonts w:eastAsia="標楷體"/>
          <w:b/>
          <w:spacing w:val="34"/>
          <w:sz w:val="26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3743"/>
      </w:tblGrid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 w:val="restart"/>
          </w:tcPr>
          <w:p w:rsidR="00F552D7" w:rsidRDefault="00F552D7">
            <w:pPr>
              <w:spacing w:line="360" w:lineRule="exact"/>
              <w:ind w:firstLine="119"/>
              <w:jc w:val="both"/>
              <w:rPr>
                <w:rFonts w:eastAsia="標楷體" w:hint="eastAsia"/>
                <w:sz w:val="26"/>
              </w:rPr>
            </w:pPr>
          </w:p>
          <w:p w:rsidR="00F552D7" w:rsidRDefault="00F552D7">
            <w:pPr>
              <w:spacing w:line="360" w:lineRule="exact"/>
              <w:ind w:firstLine="119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計畫名稱</w:t>
            </w:r>
          </w:p>
        </w:tc>
        <w:tc>
          <w:tcPr>
            <w:tcW w:w="7712" w:type="dxa"/>
            <w:gridSpan w:val="2"/>
          </w:tcPr>
          <w:p w:rsidR="00F552D7" w:rsidRPr="00D845D0" w:rsidRDefault="00F552D7" w:rsidP="00E63292">
            <w:pPr>
              <w:jc w:val="both"/>
              <w:rPr>
                <w:rFonts w:eastAsia="標楷體"/>
                <w:sz w:val="26"/>
              </w:rPr>
            </w:pPr>
            <w:r w:rsidRPr="00D845D0">
              <w:rPr>
                <w:rFonts w:eastAsia="標楷體" w:hAnsi="標楷體"/>
                <w:sz w:val="26"/>
              </w:rPr>
              <w:t>（中文）</w:t>
            </w:r>
            <w:r w:rsidR="00217B41">
              <w:rPr>
                <w:rFonts w:eastAsia="標楷體" w:hAnsi="標楷體" w:hint="eastAsia"/>
                <w:sz w:val="26"/>
              </w:rPr>
              <w:t xml:space="preserve"> </w:t>
            </w:r>
            <w:r w:rsidR="00217B41" w:rsidRPr="0026489A">
              <w:rPr>
                <w:rFonts w:eastAsia="標楷體" w:hAnsi="標楷體" w:hint="eastAsia"/>
                <w:sz w:val="26"/>
              </w:rPr>
              <w:t>慢性</w:t>
            </w:r>
            <w:r w:rsidR="00217B41" w:rsidRPr="0026489A">
              <w:rPr>
                <w:rFonts w:eastAsia="標楷體" w:hAnsi="標楷體"/>
                <w:sz w:val="26"/>
              </w:rPr>
              <w:t>B</w:t>
            </w:r>
            <w:r w:rsidR="00217B41" w:rsidRPr="0026489A">
              <w:rPr>
                <w:rFonts w:eastAsia="標楷體" w:hAnsi="標楷體" w:hint="eastAsia"/>
                <w:sz w:val="26"/>
              </w:rPr>
              <w:t>型肝炎</w:t>
            </w:r>
            <w:r w:rsidR="00217B41">
              <w:rPr>
                <w:rFonts w:eastAsia="標楷體" w:hAnsi="標楷體" w:hint="eastAsia"/>
                <w:sz w:val="26"/>
              </w:rPr>
              <w:t>E</w:t>
            </w:r>
            <w:r w:rsidR="00217B41">
              <w:rPr>
                <w:rFonts w:eastAsia="標楷體" w:hAnsi="標楷體" w:hint="eastAsia"/>
                <w:sz w:val="26"/>
              </w:rPr>
              <w:t>抗原陰性患者</w:t>
            </w:r>
            <w:r w:rsidR="00E63292">
              <w:rPr>
                <w:rFonts w:eastAsia="標楷體" w:hAnsi="標楷體" w:hint="eastAsia"/>
                <w:sz w:val="26"/>
              </w:rPr>
              <w:t>在</w:t>
            </w:r>
            <w:r w:rsidR="00217B41">
              <w:rPr>
                <w:rFonts w:eastAsia="標楷體" w:hAnsi="標楷體" w:hint="eastAsia"/>
                <w:sz w:val="26"/>
              </w:rPr>
              <w:t>終止類核苷</w:t>
            </w:r>
            <w:r w:rsidR="00217B41">
              <w:rPr>
                <w:rFonts w:eastAsia="標楷體" w:hAnsi="標楷體" w:hint="eastAsia"/>
                <w:sz w:val="26"/>
              </w:rPr>
              <w:t>(</w:t>
            </w:r>
            <w:r w:rsidR="00217B41">
              <w:rPr>
                <w:rFonts w:eastAsia="標楷體" w:hAnsi="標楷體" w:hint="eastAsia"/>
                <w:sz w:val="26"/>
              </w:rPr>
              <w:t>酸</w:t>
            </w:r>
            <w:r w:rsidR="00217B41">
              <w:rPr>
                <w:rFonts w:eastAsia="標楷體" w:hAnsi="標楷體" w:hint="eastAsia"/>
                <w:sz w:val="26"/>
              </w:rPr>
              <w:t>)</w:t>
            </w:r>
            <w:r w:rsidR="00217B41">
              <w:rPr>
                <w:rFonts w:eastAsia="標楷體" w:hAnsi="標楷體" w:hint="eastAsia"/>
                <w:sz w:val="26"/>
              </w:rPr>
              <w:t>藥物治療</w:t>
            </w:r>
            <w:r w:rsidR="00E63292">
              <w:rPr>
                <w:rFonts w:eastAsia="標楷體" w:hAnsi="標楷體" w:hint="eastAsia"/>
                <w:sz w:val="26"/>
              </w:rPr>
              <w:t>因而</w:t>
            </w:r>
            <w:r w:rsidR="00217B41">
              <w:rPr>
                <w:rFonts w:eastAsia="標楷體" w:hAnsi="標楷體" w:hint="eastAsia"/>
                <w:sz w:val="26"/>
              </w:rPr>
              <w:t>發生病毒學復發</w:t>
            </w:r>
            <w:r w:rsidR="00E63292">
              <w:rPr>
                <w:rFonts w:eastAsia="標楷體" w:hAnsi="標楷體" w:hint="eastAsia"/>
                <w:sz w:val="26"/>
              </w:rPr>
              <w:t>的臨床後果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/>
          </w:tcPr>
          <w:p w:rsidR="00F552D7" w:rsidRDefault="00F552D7">
            <w:pPr>
              <w:spacing w:line="52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7712" w:type="dxa"/>
            <w:gridSpan w:val="2"/>
          </w:tcPr>
          <w:p w:rsidR="00F552D7" w:rsidRPr="00D845D0" w:rsidRDefault="00F552D7" w:rsidP="00217B41">
            <w:pPr>
              <w:tabs>
                <w:tab w:val="left" w:pos="226"/>
              </w:tabs>
              <w:spacing w:line="300" w:lineRule="exact"/>
              <w:ind w:left="169" w:right="127" w:hangingChars="65" w:hanging="169"/>
              <w:jc w:val="both"/>
              <w:rPr>
                <w:rFonts w:eastAsia="標楷體"/>
                <w:sz w:val="26"/>
              </w:rPr>
            </w:pPr>
            <w:r w:rsidRPr="00D845D0">
              <w:rPr>
                <w:rFonts w:eastAsia="標楷體" w:hAnsi="標楷體"/>
                <w:sz w:val="26"/>
              </w:rPr>
              <w:t>（英文）</w:t>
            </w:r>
            <w:r w:rsidR="00E63292" w:rsidRPr="00E63292">
              <w:rPr>
                <w:rFonts w:eastAsia="標楷體"/>
              </w:rPr>
              <w:t>Clinical Outcomes following Virological Relapse after Discontinuation of Nucleos(t)ide Analogues in Chronic Hepatitis B E Antigen-negative Patients</w:t>
            </w:r>
            <w:r w:rsidR="0026489A">
              <w:rPr>
                <w:rFonts w:eastAsia="標楷體"/>
              </w:rPr>
              <w:t xml:space="preserve"> 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c>
          <w:tcPr>
            <w:tcW w:w="1814" w:type="dxa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計畫類別</w:t>
            </w: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sym w:font="Wingdings" w:char="F0FE"/>
            </w:r>
            <w:r>
              <w:rPr>
                <w:rFonts w:eastAsia="標楷體" w:hint="eastAsia"/>
                <w:sz w:val="26"/>
              </w:rPr>
              <w:t>個別型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sym w:font="Wingdings" w:char="F0A8"/>
            </w:r>
            <w:r>
              <w:rPr>
                <w:rFonts w:eastAsia="標楷體" w:hint="eastAsia"/>
                <w:sz w:val="26"/>
              </w:rPr>
              <w:t>整合型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計畫歸屬</w:t>
            </w:r>
          </w:p>
        </w:tc>
        <w:tc>
          <w:tcPr>
            <w:tcW w:w="7712" w:type="dxa"/>
            <w:gridSpan w:val="2"/>
          </w:tcPr>
          <w:p w:rsidR="00F552D7" w:rsidRDefault="00B07BAC">
            <w:pPr>
              <w:spacing w:line="600" w:lineRule="exact"/>
              <w:jc w:val="both"/>
              <w:rPr>
                <w:rFonts w:eastAsia="標楷體" w:hint="eastAsia"/>
                <w:spacing w:val="-2"/>
                <w:sz w:val="26"/>
              </w:rPr>
            </w:pPr>
            <w:r w:rsidRPr="00B07BAC">
              <w:rPr>
                <w:rFonts w:eastAsia="標楷體" w:hint="eastAsia"/>
                <w:spacing w:val="-2"/>
                <w:sz w:val="26"/>
              </w:rPr>
              <w:sym w:font="Wingdings" w:char="F0A8"/>
            </w:r>
            <w:r w:rsidR="00F552D7">
              <w:rPr>
                <w:rFonts w:eastAsia="標楷體" w:hint="eastAsia"/>
                <w:spacing w:val="-2"/>
                <w:sz w:val="26"/>
              </w:rPr>
              <w:t>基礎醫學</w:t>
            </w:r>
            <w:r w:rsidR="00F552D7">
              <w:rPr>
                <w:rFonts w:eastAsia="標楷體" w:hint="eastAsia"/>
                <w:spacing w:val="-2"/>
                <w:sz w:val="26"/>
              </w:rPr>
              <w:sym w:font="Wingdings" w:char="F0A8"/>
            </w:r>
            <w:r w:rsidR="00F552D7">
              <w:rPr>
                <w:rFonts w:eastAsia="標楷體" w:hint="eastAsia"/>
                <w:spacing w:val="-2"/>
                <w:sz w:val="26"/>
              </w:rPr>
              <w:t>生物醫學</w:t>
            </w:r>
            <w:r w:rsidRPr="00B07BAC">
              <w:rPr>
                <w:rFonts w:eastAsia="標楷體" w:hint="eastAsia"/>
                <w:spacing w:val="-2"/>
                <w:sz w:val="26"/>
              </w:rPr>
              <w:sym w:font="Wingdings" w:char="F0FE"/>
            </w:r>
            <w:r w:rsidR="00F552D7">
              <w:rPr>
                <w:rFonts w:eastAsia="標楷體" w:hint="eastAsia"/>
                <w:spacing w:val="-2"/>
                <w:sz w:val="26"/>
              </w:rPr>
              <w:t>臨床醫學</w:t>
            </w:r>
            <w:r w:rsidR="00F552D7">
              <w:rPr>
                <w:rFonts w:eastAsia="標楷體" w:hint="eastAsia"/>
                <w:spacing w:val="-2"/>
                <w:sz w:val="26"/>
              </w:rPr>
              <w:sym w:font="Wingdings" w:char="F0A8"/>
            </w:r>
            <w:r w:rsidR="00F552D7">
              <w:rPr>
                <w:rFonts w:eastAsia="標楷體" w:hint="eastAsia"/>
                <w:spacing w:val="-2"/>
                <w:sz w:val="26"/>
              </w:rPr>
              <w:t>資訊系統</w:t>
            </w:r>
            <w:r w:rsidR="00F552D7">
              <w:rPr>
                <w:rFonts w:eastAsia="標楷體" w:hint="eastAsia"/>
                <w:spacing w:val="-2"/>
                <w:sz w:val="26"/>
              </w:rPr>
              <w:sym w:font="Wingdings" w:char="F0A8"/>
            </w:r>
            <w:r w:rsidR="00F552D7">
              <w:rPr>
                <w:rFonts w:eastAsia="標楷體" w:hint="eastAsia"/>
                <w:spacing w:val="-2"/>
                <w:sz w:val="26"/>
              </w:rPr>
              <w:t>醫院管理</w:t>
            </w:r>
            <w:r w:rsidR="00F552D7">
              <w:rPr>
                <w:rFonts w:eastAsia="標楷體" w:hint="eastAsia"/>
                <w:spacing w:val="-2"/>
                <w:sz w:val="26"/>
              </w:rPr>
              <w:sym w:font="Wingdings" w:char="F0A8"/>
            </w:r>
            <w:r w:rsidR="00F552D7">
              <w:rPr>
                <w:rFonts w:eastAsia="標楷體" w:hint="eastAsia"/>
                <w:spacing w:val="-2"/>
                <w:sz w:val="26"/>
              </w:rPr>
              <w:t>整合性醫學研究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 w:val="restart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計畫主持人</w:t>
            </w:r>
          </w:p>
        </w:tc>
        <w:tc>
          <w:tcPr>
            <w:tcW w:w="3969" w:type="dxa"/>
          </w:tcPr>
          <w:p w:rsidR="00F552D7" w:rsidRDefault="00F552D7">
            <w:pPr>
              <w:spacing w:beforeLines="50" w:before="180" w:afterLines="30" w:after="108" w:line="3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sz w:val="26"/>
              </w:rPr>
              <w:t>姓名：</w:t>
            </w:r>
            <w:r>
              <w:rPr>
                <w:rFonts w:eastAsia="標楷體" w:hint="eastAsia"/>
                <w:color w:val="000000"/>
                <w:sz w:val="32"/>
              </w:rPr>
              <w:t>許耀峻</w:t>
            </w:r>
          </w:p>
          <w:p w:rsidR="00F552D7" w:rsidRDefault="00F552D7">
            <w:pPr>
              <w:spacing w:beforeLines="50" w:before="180" w:afterLines="30" w:after="108" w:line="300" w:lineRule="exact"/>
              <w:ind w:leftChars="-5" w:left="310" w:hangingChars="115" w:hanging="322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Yao-Chun Hsu</w:t>
            </w:r>
          </w:p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機關：</w:t>
            </w:r>
            <w:r w:rsidR="00B07BAC">
              <w:rPr>
                <w:rFonts w:eastAsia="標楷體" w:hint="eastAsia"/>
                <w:b/>
                <w:sz w:val="28"/>
              </w:rPr>
              <w:t>義大醫院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職稱：</w:t>
            </w:r>
            <w:r w:rsidR="00D845D0">
              <w:rPr>
                <w:rFonts w:eastAsia="標楷體" w:hint="eastAsia"/>
                <w:b/>
                <w:sz w:val="28"/>
              </w:rPr>
              <w:t>中心主任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單位：</w:t>
            </w:r>
            <w:r w:rsidR="00D845D0">
              <w:rPr>
                <w:rFonts w:eastAsia="標楷體" w:hint="eastAsia"/>
                <w:b/>
                <w:sz w:val="28"/>
              </w:rPr>
              <w:t>資料庫研究中心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通訊地址</w:t>
            </w:r>
          </w:p>
        </w:tc>
        <w:tc>
          <w:tcPr>
            <w:tcW w:w="7712" w:type="dxa"/>
            <w:gridSpan w:val="2"/>
          </w:tcPr>
          <w:p w:rsidR="00F552D7" w:rsidRDefault="00B07BAC">
            <w:pPr>
              <w:spacing w:line="600" w:lineRule="exact"/>
              <w:jc w:val="both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高雄市燕巢區義大路</w:t>
            </w:r>
            <w:r>
              <w:rPr>
                <w:rFonts w:eastAsia="標楷體" w:hint="eastAsia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號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  <w:tc>
          <w:tcPr>
            <w:tcW w:w="7712" w:type="dxa"/>
            <w:gridSpan w:val="2"/>
          </w:tcPr>
          <w:p w:rsidR="00F552D7" w:rsidRDefault="00B07BAC">
            <w:pPr>
              <w:spacing w:line="600" w:lineRule="exact"/>
              <w:jc w:val="both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07-6155725, 0988687726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計畫執行期限</w:t>
            </w:r>
          </w:p>
        </w:tc>
        <w:tc>
          <w:tcPr>
            <w:tcW w:w="7712" w:type="dxa"/>
            <w:gridSpan w:val="2"/>
          </w:tcPr>
          <w:p w:rsidR="00F552D7" w:rsidRDefault="00F552D7" w:rsidP="00E63292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自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B07BAC">
              <w:rPr>
                <w:rFonts w:eastAsia="標楷體" w:hint="eastAsia"/>
                <w:b/>
                <w:sz w:val="28"/>
              </w:rPr>
              <w:t>10</w:t>
            </w:r>
            <w:r w:rsidR="00E63292">
              <w:rPr>
                <w:rFonts w:eastAsia="標楷體"/>
                <w:b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="00B07BAC">
              <w:rPr>
                <w:rFonts w:eastAsia="標楷體" w:hint="eastAsia"/>
                <w:sz w:val="28"/>
              </w:rPr>
              <w:t xml:space="preserve"> 1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月</w:t>
            </w:r>
            <w:r w:rsidR="00B07BAC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日起至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B07BAC">
              <w:rPr>
                <w:rFonts w:eastAsia="標楷體" w:hint="eastAsia"/>
                <w:b/>
                <w:sz w:val="28"/>
              </w:rPr>
              <w:t>10</w:t>
            </w:r>
            <w:r w:rsidR="00E63292">
              <w:rPr>
                <w:rFonts w:eastAsia="標楷體"/>
                <w:b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31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日止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 w:val="restart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共同主持人</w:t>
            </w:r>
          </w:p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（一）</w:t>
            </w: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姓名：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機關：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職稱：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單位：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 w:val="restart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共同主持人</w:t>
            </w:r>
          </w:p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（二）</w:t>
            </w: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姓名：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機關：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職稱：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單位：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 w:val="restart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共同主持人</w:t>
            </w:r>
          </w:p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（三）</w:t>
            </w: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姓名：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機關：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職稱：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單位：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 w:val="restart"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共同主持人</w:t>
            </w:r>
          </w:p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（四）</w:t>
            </w: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姓名：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機關：</w:t>
            </w:r>
          </w:p>
        </w:tc>
      </w:tr>
      <w:tr w:rsidR="00F552D7" w:rsidTr="00B07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  <w:vMerge/>
          </w:tcPr>
          <w:p w:rsidR="00F552D7" w:rsidRDefault="00F552D7">
            <w:pPr>
              <w:spacing w:line="600" w:lineRule="exact"/>
              <w:ind w:firstLine="120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3969" w:type="dxa"/>
          </w:tcPr>
          <w:p w:rsidR="00F552D7" w:rsidRDefault="00F552D7">
            <w:pPr>
              <w:spacing w:line="600" w:lineRule="exact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職稱：</w:t>
            </w:r>
          </w:p>
        </w:tc>
        <w:tc>
          <w:tcPr>
            <w:tcW w:w="3743" w:type="dxa"/>
          </w:tcPr>
          <w:p w:rsidR="00F552D7" w:rsidRDefault="00F552D7">
            <w:pPr>
              <w:spacing w:line="600" w:lineRule="exact"/>
              <w:ind w:right="-1566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單位：</w:t>
            </w:r>
          </w:p>
        </w:tc>
      </w:tr>
    </w:tbl>
    <w:p w:rsidR="004E2477" w:rsidRDefault="004E2477">
      <w:pPr>
        <w:tabs>
          <w:tab w:val="num" w:pos="826"/>
        </w:tabs>
        <w:spacing w:line="360" w:lineRule="exact"/>
        <w:ind w:leftChars="-5" w:left="3477" w:hangingChars="1245" w:hanging="3489"/>
        <w:jc w:val="center"/>
        <w:rPr>
          <w:rFonts w:eastAsia="標楷體" w:hint="eastAsia"/>
          <w:b/>
          <w:bCs/>
          <w:noProof/>
          <w:sz w:val="28"/>
        </w:rPr>
      </w:pPr>
    </w:p>
    <w:p w:rsidR="003A19EC" w:rsidRDefault="003A19EC">
      <w:pPr>
        <w:tabs>
          <w:tab w:val="num" w:pos="826"/>
        </w:tabs>
        <w:spacing w:line="360" w:lineRule="exact"/>
        <w:ind w:leftChars="-5" w:left="3477" w:hangingChars="1245" w:hanging="3489"/>
        <w:jc w:val="center"/>
        <w:rPr>
          <w:rFonts w:eastAsia="標楷體"/>
          <w:b/>
          <w:bCs/>
          <w:noProof/>
          <w:sz w:val="28"/>
        </w:rPr>
        <w:sectPr w:rsidR="003A19E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552D7" w:rsidRDefault="00B07BAC">
      <w:pPr>
        <w:tabs>
          <w:tab w:val="num" w:pos="826"/>
        </w:tabs>
        <w:spacing w:line="360" w:lineRule="exact"/>
        <w:ind w:leftChars="-5" w:left="3477" w:hangingChars="1245" w:hanging="3489"/>
        <w:jc w:val="center"/>
        <w:rPr>
          <w:rFonts w:eastAsia="標楷體" w:hint="eastAsia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研究計畫</w:t>
      </w:r>
      <w:r w:rsidR="00F552D7">
        <w:rPr>
          <w:rFonts w:eastAsia="標楷體" w:hint="eastAsia"/>
          <w:b/>
          <w:bCs/>
          <w:noProof/>
          <w:sz w:val="28"/>
        </w:rPr>
        <w:t>摘要</w:t>
      </w:r>
    </w:p>
    <w:p w:rsidR="001B6C88" w:rsidRDefault="001B6C88">
      <w:pPr>
        <w:tabs>
          <w:tab w:val="num" w:pos="826"/>
        </w:tabs>
        <w:spacing w:line="360" w:lineRule="exact"/>
        <w:ind w:leftChars="-5" w:left="2976" w:hangingChars="1245" w:hanging="2988"/>
        <w:rPr>
          <w:rFonts w:eastAsia="標楷體" w:hint="eastAsia"/>
        </w:rPr>
      </w:pPr>
    </w:p>
    <w:p w:rsidR="00F552D7" w:rsidRDefault="001B6C88" w:rsidP="003A19EC">
      <w:pPr>
        <w:tabs>
          <w:tab w:val="num" w:pos="826"/>
        </w:tabs>
        <w:spacing w:line="360" w:lineRule="exact"/>
        <w:ind w:leftChars="-5" w:left="1134" w:hangingChars="477" w:hanging="1146"/>
        <w:rPr>
          <w:rFonts w:eastAsia="標楷體" w:hint="eastAsia"/>
        </w:rPr>
      </w:pPr>
      <w:r w:rsidRPr="001B6C88">
        <w:rPr>
          <w:rFonts w:eastAsia="標楷體" w:hint="eastAsia"/>
          <w:b/>
        </w:rPr>
        <w:t>研究主題</w:t>
      </w:r>
      <w:r w:rsidRPr="001B6C88">
        <w:rPr>
          <w:rFonts w:eastAsia="標楷體" w:hint="eastAsia"/>
          <w:b/>
        </w:rPr>
        <w:t>:</w:t>
      </w:r>
      <w:r>
        <w:rPr>
          <w:rFonts w:eastAsia="標楷體" w:hint="eastAsia"/>
        </w:rPr>
        <w:t xml:space="preserve"> </w:t>
      </w:r>
      <w:r w:rsidR="00D70640" w:rsidRPr="00D70640">
        <w:rPr>
          <w:rFonts w:eastAsia="標楷體" w:hint="eastAsia"/>
        </w:rPr>
        <w:t>慢性</w:t>
      </w:r>
      <w:r w:rsidR="00D70640" w:rsidRPr="00D70640">
        <w:rPr>
          <w:rFonts w:eastAsia="標楷體"/>
        </w:rPr>
        <w:t>B</w:t>
      </w:r>
      <w:r w:rsidR="00D70640" w:rsidRPr="00D70640">
        <w:rPr>
          <w:rFonts w:eastAsia="標楷體" w:hint="eastAsia"/>
        </w:rPr>
        <w:t>型肝炎</w:t>
      </w:r>
      <w:r w:rsidR="003A19EC">
        <w:rPr>
          <w:rFonts w:eastAsia="標楷體" w:hint="eastAsia"/>
        </w:rPr>
        <w:t>E</w:t>
      </w:r>
      <w:r w:rsidR="003A19EC">
        <w:rPr>
          <w:rFonts w:eastAsia="標楷體" w:hint="eastAsia"/>
        </w:rPr>
        <w:t>抗原陰性患者在終</w:t>
      </w:r>
      <w:r w:rsidR="00D70640" w:rsidRPr="00D70640">
        <w:rPr>
          <w:rFonts w:eastAsia="標楷體" w:hint="eastAsia"/>
        </w:rPr>
        <w:t>止類核苷</w:t>
      </w:r>
      <w:r w:rsidR="00D70640" w:rsidRPr="00D70640">
        <w:rPr>
          <w:rFonts w:eastAsia="標楷體"/>
        </w:rPr>
        <w:t>(</w:t>
      </w:r>
      <w:r w:rsidR="00D70640" w:rsidRPr="00D70640">
        <w:rPr>
          <w:rFonts w:eastAsia="標楷體" w:hint="eastAsia"/>
        </w:rPr>
        <w:t>酸</w:t>
      </w:r>
      <w:r w:rsidR="00D70640" w:rsidRPr="00D70640">
        <w:rPr>
          <w:rFonts w:eastAsia="標楷體"/>
        </w:rPr>
        <w:t>)</w:t>
      </w:r>
      <w:r w:rsidR="00D70640" w:rsidRPr="00D70640">
        <w:rPr>
          <w:rFonts w:eastAsia="標楷體" w:hint="eastAsia"/>
        </w:rPr>
        <w:t>治療後</w:t>
      </w:r>
      <w:r w:rsidR="003A19EC">
        <w:rPr>
          <w:rFonts w:eastAsia="標楷體" w:hint="eastAsia"/>
        </w:rPr>
        <w:t>若發生病毒學復發，其臨床後果為何</w:t>
      </w:r>
    </w:p>
    <w:p w:rsidR="001B6C88" w:rsidRPr="004E2477" w:rsidRDefault="001B6C88">
      <w:pPr>
        <w:tabs>
          <w:tab w:val="num" w:pos="826"/>
        </w:tabs>
        <w:spacing w:line="360" w:lineRule="exact"/>
        <w:ind w:leftChars="-5" w:left="2976" w:hangingChars="1245" w:hanging="2988"/>
        <w:rPr>
          <w:rFonts w:eastAsia="標楷體" w:hint="eastAsia"/>
        </w:rPr>
      </w:pPr>
    </w:p>
    <w:p w:rsidR="00B07BAC" w:rsidRPr="00B07BAC" w:rsidRDefault="001B6C88" w:rsidP="003142F5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ㄧ、試驗目的</w:t>
      </w:r>
      <w:r w:rsidR="00B07BAC" w:rsidRPr="00B07BAC">
        <w:rPr>
          <w:rFonts w:ascii="標楷體" w:eastAsia="標楷體" w:hAnsi="標楷體" w:hint="eastAsia"/>
          <w:b/>
          <w:color w:val="000000"/>
        </w:rPr>
        <w:t>：</w:t>
      </w:r>
    </w:p>
    <w:p w:rsidR="004E2477" w:rsidRDefault="00721751" w:rsidP="003142F5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已知使用</w:t>
      </w:r>
      <w:r w:rsidR="003A19EC" w:rsidRPr="00D70640">
        <w:rPr>
          <w:rFonts w:eastAsia="標楷體" w:hint="eastAsia"/>
        </w:rPr>
        <w:t>類核苷</w:t>
      </w:r>
      <w:r w:rsidR="003A19EC" w:rsidRPr="00D70640">
        <w:rPr>
          <w:rFonts w:eastAsia="標楷體"/>
        </w:rPr>
        <w:t>(</w:t>
      </w:r>
      <w:r w:rsidR="003A19EC" w:rsidRPr="00D70640">
        <w:rPr>
          <w:rFonts w:eastAsia="標楷體" w:hint="eastAsia"/>
        </w:rPr>
        <w:t>酸</w:t>
      </w:r>
      <w:r w:rsidR="003A19EC" w:rsidRPr="00D70640">
        <w:rPr>
          <w:rFonts w:eastAsia="標楷體"/>
        </w:rPr>
        <w:t>)</w:t>
      </w:r>
      <w:r w:rsidR="00D70640" w:rsidRPr="00D70640">
        <w:rPr>
          <w:rFonts w:ascii="標楷體" w:eastAsia="標楷體" w:hAnsi="標楷體" w:hint="eastAsia"/>
          <w:color w:val="000000"/>
        </w:rPr>
        <w:t>抗病毒藥物的慢性B型肝炎病人</w:t>
      </w:r>
      <w:r w:rsidR="003A19EC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停</w:t>
      </w:r>
      <w:r w:rsidR="00D70640" w:rsidRPr="00D70640">
        <w:rPr>
          <w:rFonts w:ascii="標楷體" w:eastAsia="標楷體" w:hAnsi="標楷體" w:hint="eastAsia"/>
          <w:color w:val="000000"/>
        </w:rPr>
        <w:t>藥後</w:t>
      </w:r>
      <w:r>
        <w:rPr>
          <w:rFonts w:ascii="標楷體" w:eastAsia="標楷體" w:hAnsi="標楷體" w:hint="eastAsia"/>
          <w:color w:val="000000"/>
        </w:rPr>
        <w:t>病毒學復發機率很高，本研究將</w:t>
      </w:r>
      <w:r w:rsidR="003E4CFA">
        <w:rPr>
          <w:rFonts w:ascii="標楷體" w:eastAsia="標楷體" w:hAnsi="標楷體" w:hint="eastAsia"/>
          <w:color w:val="000000"/>
        </w:rPr>
        <w:t>進</w:t>
      </w:r>
      <w:r>
        <w:rPr>
          <w:rFonts w:ascii="標楷體" w:eastAsia="標楷體" w:hAnsi="標楷體" w:hint="eastAsia"/>
          <w:color w:val="000000"/>
        </w:rPr>
        <w:t>一步釐清病毒學復發後的臨床</w:t>
      </w:r>
      <w:r w:rsidR="00D70640" w:rsidRPr="00D70640">
        <w:rPr>
          <w:rFonts w:ascii="標楷體" w:eastAsia="標楷體" w:hAnsi="標楷體" w:hint="eastAsia"/>
          <w:color w:val="000000"/>
        </w:rPr>
        <w:t>結果</w:t>
      </w:r>
    </w:p>
    <w:p w:rsidR="00261B60" w:rsidRPr="00D845D0" w:rsidRDefault="00261B60" w:rsidP="003142F5">
      <w:pPr>
        <w:rPr>
          <w:rFonts w:ascii="標楷體" w:eastAsia="標楷體" w:hAnsi="標楷體" w:hint="eastAsia"/>
          <w:color w:val="000000"/>
        </w:rPr>
      </w:pPr>
    </w:p>
    <w:p w:rsidR="00B07BAC" w:rsidRPr="00B07BAC" w:rsidRDefault="00B07BAC" w:rsidP="003142F5">
      <w:pPr>
        <w:rPr>
          <w:rFonts w:ascii="標楷體" w:eastAsia="標楷體" w:hAnsi="標楷體" w:hint="eastAsia"/>
          <w:b/>
          <w:color w:val="000000"/>
        </w:rPr>
      </w:pPr>
      <w:r w:rsidRPr="00B07BAC">
        <w:rPr>
          <w:rFonts w:ascii="標楷體" w:eastAsia="標楷體" w:hAnsi="標楷體" w:hint="eastAsia"/>
          <w:b/>
          <w:color w:val="000000"/>
        </w:rPr>
        <w:t>二、研究背景：</w:t>
      </w:r>
    </w:p>
    <w:p w:rsidR="00D70640" w:rsidRPr="00D70640" w:rsidRDefault="00826ADC" w:rsidP="00D70640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261B60">
        <w:rPr>
          <w:rFonts w:ascii="標楷體" w:eastAsia="標楷體" w:hAnsi="標楷體" w:hint="eastAsia"/>
          <w:color w:val="000000"/>
        </w:rPr>
        <w:t xml:space="preserve">  </w:t>
      </w:r>
      <w:r w:rsidR="00D70640" w:rsidRPr="00D70640">
        <w:rPr>
          <w:rFonts w:ascii="標楷體" w:eastAsia="標楷體" w:hAnsi="標楷體" w:hint="eastAsia"/>
          <w:color w:val="000000"/>
        </w:rPr>
        <w:t>慢性B型肝炎是</w:t>
      </w:r>
      <w:r w:rsidR="00A8741B">
        <w:rPr>
          <w:rFonts w:ascii="標楷體" w:eastAsia="標楷體" w:hAnsi="標楷體" w:hint="eastAsia"/>
          <w:color w:val="000000"/>
        </w:rPr>
        <w:t>全世界的重要公共衛生問題，是</w:t>
      </w:r>
      <w:r w:rsidR="00D70640" w:rsidRPr="00D70640">
        <w:rPr>
          <w:rFonts w:ascii="標楷體" w:eastAsia="標楷體" w:hAnsi="標楷體" w:hint="eastAsia"/>
          <w:color w:val="000000"/>
        </w:rPr>
        <w:t>肝硬化，肝衰竭，以及肝癌的主要病因，</w:t>
      </w:r>
      <w:r w:rsidR="00A8741B">
        <w:rPr>
          <w:rFonts w:ascii="標楷體" w:eastAsia="標楷體" w:hAnsi="標楷體" w:hint="eastAsia"/>
          <w:color w:val="000000"/>
        </w:rPr>
        <w:t>目前台灣</w:t>
      </w:r>
      <w:r w:rsidR="00D70640" w:rsidRPr="00D70640">
        <w:rPr>
          <w:rFonts w:ascii="標楷體" w:eastAsia="標楷體" w:hAnsi="標楷體" w:hint="eastAsia"/>
          <w:color w:val="000000"/>
        </w:rPr>
        <w:t>成年人口仍有</w:t>
      </w:r>
      <w:r w:rsidR="00A8741B">
        <w:rPr>
          <w:rFonts w:ascii="標楷體" w:eastAsia="標楷體" w:hAnsi="標楷體" w:hint="eastAsia"/>
          <w:color w:val="000000"/>
        </w:rPr>
        <w:t>約15</w:t>
      </w:r>
      <w:r w:rsidR="00D70640" w:rsidRPr="00D70640">
        <w:rPr>
          <w:rFonts w:ascii="標楷體" w:eastAsia="標楷體" w:hAnsi="標楷體" w:hint="eastAsia"/>
          <w:color w:val="000000"/>
        </w:rPr>
        <w:t>%罹患慢性B型肝炎，</w:t>
      </w:r>
      <w:r w:rsidR="007F3089">
        <w:rPr>
          <w:rFonts w:ascii="標楷體" w:eastAsia="標楷體" w:hAnsi="標楷體" w:hint="eastAsia"/>
          <w:color w:val="000000"/>
        </w:rPr>
        <w:t>也是國人肝病的最大元凶，</w:t>
      </w:r>
      <w:r w:rsidR="00D70640" w:rsidRPr="00D70640">
        <w:rPr>
          <w:rFonts w:ascii="標楷體" w:eastAsia="標楷體" w:hAnsi="標楷體" w:hint="eastAsia"/>
          <w:color w:val="000000"/>
        </w:rPr>
        <w:t>因此如何改善</w:t>
      </w:r>
      <w:r w:rsidR="007F3089">
        <w:rPr>
          <w:rFonts w:ascii="標楷體" w:eastAsia="標楷體" w:hAnsi="標楷體" w:hint="eastAsia"/>
          <w:color w:val="000000"/>
        </w:rPr>
        <w:t>患者預後仍是我國首要</w:t>
      </w:r>
      <w:r w:rsidR="00D70640" w:rsidRPr="00D70640">
        <w:rPr>
          <w:rFonts w:ascii="標楷體" w:eastAsia="標楷體" w:hAnsi="標楷體" w:hint="eastAsia"/>
          <w:color w:val="000000"/>
        </w:rPr>
        <w:t>臨床議題之一。</w:t>
      </w:r>
    </w:p>
    <w:p w:rsidR="00826ADC" w:rsidRDefault="00D70640" w:rsidP="00D70640">
      <w:pPr>
        <w:rPr>
          <w:rFonts w:ascii="標楷體" w:eastAsia="標楷體" w:hAnsi="標楷體"/>
          <w:color w:val="000000"/>
        </w:rPr>
      </w:pPr>
      <w:r w:rsidRPr="00D70640">
        <w:rPr>
          <w:rFonts w:ascii="標楷體" w:eastAsia="標楷體" w:hAnsi="標楷體"/>
          <w:color w:val="000000"/>
        </w:rPr>
        <w:t xml:space="preserve">    </w:t>
      </w:r>
      <w:r w:rsidRPr="00D70640">
        <w:rPr>
          <w:rFonts w:ascii="標楷體" w:eastAsia="標楷體" w:hAnsi="標楷體" w:hint="eastAsia"/>
          <w:color w:val="000000"/>
        </w:rPr>
        <w:t>類核苷</w:t>
      </w:r>
      <w:r w:rsidRPr="00D70640">
        <w:rPr>
          <w:rFonts w:ascii="標楷體" w:eastAsia="標楷體" w:hAnsi="標楷體"/>
          <w:color w:val="000000"/>
        </w:rPr>
        <w:t>(</w:t>
      </w:r>
      <w:r w:rsidRPr="00D70640">
        <w:rPr>
          <w:rFonts w:ascii="標楷體" w:eastAsia="標楷體" w:hAnsi="標楷體" w:hint="eastAsia"/>
          <w:color w:val="000000"/>
        </w:rPr>
        <w:t>酸</w:t>
      </w:r>
      <w:r w:rsidRPr="00D70640">
        <w:rPr>
          <w:rFonts w:ascii="標楷體" w:eastAsia="標楷體" w:hAnsi="標楷體"/>
          <w:color w:val="000000"/>
        </w:rPr>
        <w:t>)</w:t>
      </w:r>
      <w:r w:rsidR="00C73079">
        <w:rPr>
          <w:rFonts w:ascii="標楷體" w:eastAsia="標楷體" w:hAnsi="標楷體" w:hint="eastAsia"/>
          <w:color w:val="000000"/>
        </w:rPr>
        <w:t>藥物是現今</w:t>
      </w:r>
      <w:r w:rsidRPr="00D70640">
        <w:rPr>
          <w:rFonts w:ascii="標楷體" w:eastAsia="標楷體" w:hAnsi="標楷體" w:hint="eastAsia"/>
          <w:color w:val="000000"/>
        </w:rPr>
        <w:t>第一線抗</w:t>
      </w:r>
      <w:r w:rsidRPr="00D70640">
        <w:rPr>
          <w:rFonts w:ascii="標楷體" w:eastAsia="標楷體" w:hAnsi="標楷體"/>
          <w:color w:val="000000"/>
        </w:rPr>
        <w:t>B</w:t>
      </w:r>
      <w:r w:rsidR="00C73079">
        <w:rPr>
          <w:rFonts w:ascii="標楷體" w:eastAsia="標楷體" w:hAnsi="標楷體" w:hint="eastAsia"/>
          <w:color w:val="000000"/>
        </w:rPr>
        <w:t>肝病毒藥物。雖然</w:t>
      </w:r>
      <w:r w:rsidRPr="00D70640">
        <w:rPr>
          <w:rFonts w:ascii="標楷體" w:eastAsia="標楷體" w:hAnsi="標楷體" w:hint="eastAsia"/>
          <w:color w:val="000000"/>
        </w:rPr>
        <w:t>在口服抗病毒藥物治療期間</w:t>
      </w:r>
      <w:r w:rsidR="00C73079">
        <w:rPr>
          <w:rFonts w:ascii="標楷體" w:eastAsia="標楷體" w:hAnsi="標楷體" w:hint="eastAsia"/>
          <w:color w:val="000000"/>
        </w:rPr>
        <w:t>，</w:t>
      </w:r>
      <w:r w:rsidRPr="00D70640">
        <w:rPr>
          <w:rFonts w:ascii="標楷體" w:eastAsia="標楷體" w:hAnsi="標楷體"/>
          <w:color w:val="000000"/>
        </w:rPr>
        <w:t>B</w:t>
      </w:r>
      <w:r w:rsidR="00C73079">
        <w:rPr>
          <w:rFonts w:ascii="標楷體" w:eastAsia="標楷體" w:hAnsi="標楷體" w:hint="eastAsia"/>
          <w:color w:val="000000"/>
        </w:rPr>
        <w:t>型肝炎會進入不活動狀態，然而</w:t>
      </w:r>
      <w:r w:rsidRPr="00D70640">
        <w:rPr>
          <w:rFonts w:ascii="標楷體" w:eastAsia="標楷體" w:hAnsi="標楷體" w:hint="eastAsia"/>
          <w:color w:val="000000"/>
        </w:rPr>
        <w:t>停止治療後，多數病人</w:t>
      </w:r>
      <w:r w:rsidRPr="00D70640">
        <w:rPr>
          <w:rFonts w:ascii="標楷體" w:eastAsia="標楷體" w:hAnsi="標楷體"/>
          <w:color w:val="000000"/>
        </w:rPr>
        <w:t>B</w:t>
      </w:r>
      <w:r w:rsidRPr="00D70640">
        <w:rPr>
          <w:rFonts w:ascii="標楷體" w:eastAsia="標楷體" w:hAnsi="標楷體" w:hint="eastAsia"/>
          <w:color w:val="000000"/>
        </w:rPr>
        <w:t>肝病毒會再度大量複製，可能又會復發活動性肝炎，甚至導致嚴重急性發作。</w:t>
      </w:r>
    </w:p>
    <w:p w:rsidR="00B07BAC" w:rsidRDefault="007F3089" w:rsidP="003142F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我們以往的研究已經發現停藥後</w:t>
      </w:r>
      <w:r>
        <w:rPr>
          <w:rFonts w:ascii="標楷體" w:eastAsia="標楷體" w:hAnsi="標楷體" w:hint="eastAsia"/>
          <w:color w:val="000000"/>
        </w:rPr>
        <w:t>發生病毒學復發</w:t>
      </w:r>
      <w:r>
        <w:rPr>
          <w:rFonts w:ascii="標楷體" w:eastAsia="標楷體" w:hAnsi="標楷體" w:hint="eastAsia"/>
          <w:color w:val="000000"/>
        </w:rPr>
        <w:t>的機率很高，</w:t>
      </w:r>
      <w:r w:rsidRPr="007F3089">
        <w:rPr>
          <w:rFonts w:ascii="標楷體" w:eastAsia="標楷體" w:hAnsi="標楷體" w:hint="eastAsia"/>
          <w:color w:val="000000"/>
        </w:rPr>
        <w:t>E</w:t>
      </w:r>
      <w:r>
        <w:rPr>
          <w:rFonts w:ascii="標楷體" w:eastAsia="標楷體" w:hAnsi="標楷體" w:hint="eastAsia"/>
          <w:color w:val="000000"/>
        </w:rPr>
        <w:t>抗原陽性患者</w:t>
      </w:r>
      <w:r w:rsidRPr="007F3089">
        <w:rPr>
          <w:rFonts w:ascii="標楷體" w:eastAsia="標楷體" w:hAnsi="標楷體" w:hint="eastAsia"/>
          <w:color w:val="000000"/>
        </w:rPr>
        <w:t>若未能清除E</w:t>
      </w:r>
      <w:r>
        <w:rPr>
          <w:rFonts w:ascii="標楷體" w:eastAsia="標楷體" w:hAnsi="標楷體" w:hint="eastAsia"/>
          <w:color w:val="000000"/>
        </w:rPr>
        <w:t>抗原即停藥，幾乎都會遇到病毒學和臨床肝炎復發，根本不應停藥。</w:t>
      </w:r>
      <w:r w:rsidRPr="007F3089">
        <w:rPr>
          <w:rFonts w:ascii="標楷體" w:eastAsia="標楷體" w:hAnsi="標楷體" w:hint="eastAsia"/>
          <w:color w:val="000000"/>
        </w:rPr>
        <w:t>E</w:t>
      </w:r>
      <w:r>
        <w:rPr>
          <w:rFonts w:ascii="標楷體" w:eastAsia="標楷體" w:hAnsi="標楷體" w:hint="eastAsia"/>
          <w:color w:val="000000"/>
        </w:rPr>
        <w:t>抗原陰性患者</w:t>
      </w:r>
      <w:r w:rsidR="00C73079">
        <w:rPr>
          <w:rFonts w:ascii="標楷體" w:eastAsia="標楷體" w:hAnsi="標楷體" w:hint="eastAsia"/>
          <w:color w:val="000000"/>
        </w:rPr>
        <w:t>停藥後仍有相當比率復發，然而病毒學復發後是否應立即再使用藥物治療，則仍存在爭議</w:t>
      </w:r>
      <w:r w:rsidRPr="007F3089">
        <w:rPr>
          <w:rFonts w:ascii="標楷體" w:eastAsia="標楷體" w:hAnsi="標楷體" w:hint="eastAsia"/>
          <w:color w:val="000000"/>
        </w:rPr>
        <w:t>。</w:t>
      </w:r>
      <w:r w:rsidR="00783C3D">
        <w:rPr>
          <w:rFonts w:ascii="標楷體" w:eastAsia="標楷體" w:hAnsi="標楷體" w:hint="eastAsia"/>
          <w:color w:val="000000"/>
        </w:rPr>
        <w:t>本計畫</w:t>
      </w:r>
      <w:r w:rsidR="00C73079">
        <w:rPr>
          <w:rFonts w:ascii="標楷體" w:eastAsia="標楷體" w:hAnsi="標楷體" w:hint="eastAsia"/>
          <w:color w:val="000000"/>
        </w:rPr>
        <w:t>擬從以往</w:t>
      </w:r>
      <w:r w:rsidR="00783C3D">
        <w:rPr>
          <w:rFonts w:ascii="標楷體" w:eastAsia="標楷體" w:hAnsi="標楷體" w:hint="eastAsia"/>
          <w:color w:val="000000"/>
        </w:rPr>
        <w:t>研究進一步</w:t>
      </w:r>
      <w:r w:rsidR="00C73079">
        <w:rPr>
          <w:rFonts w:ascii="標楷體" w:eastAsia="標楷體" w:hAnsi="標楷體" w:hint="eastAsia"/>
          <w:color w:val="000000"/>
        </w:rPr>
        <w:t>深入探討發生病毒學復發後的臨床結果</w:t>
      </w:r>
      <w:r w:rsidR="00783C3D">
        <w:rPr>
          <w:rFonts w:ascii="標楷體" w:eastAsia="標楷體" w:hAnsi="標楷體" w:hint="eastAsia"/>
          <w:color w:val="000000"/>
        </w:rPr>
        <w:t>，</w:t>
      </w:r>
      <w:r w:rsidR="00C73079">
        <w:rPr>
          <w:rFonts w:ascii="標楷體" w:eastAsia="標楷體" w:hAnsi="標楷體" w:hint="eastAsia"/>
          <w:color w:val="000000"/>
        </w:rPr>
        <w:t>以瞭解再治療的必要性與立即性。</w:t>
      </w:r>
    </w:p>
    <w:p w:rsidR="00C73079" w:rsidRPr="00261B60" w:rsidRDefault="00C73079" w:rsidP="003142F5">
      <w:pPr>
        <w:rPr>
          <w:rFonts w:ascii="標楷體" w:eastAsia="標楷體" w:hAnsi="標楷體" w:hint="eastAsia"/>
          <w:b/>
          <w:color w:val="000000"/>
        </w:rPr>
      </w:pPr>
    </w:p>
    <w:p w:rsidR="00261B60" w:rsidRPr="00261B60" w:rsidRDefault="00261B60" w:rsidP="003142F5">
      <w:pPr>
        <w:rPr>
          <w:rFonts w:ascii="標楷體" w:eastAsia="標楷體" w:hAnsi="標楷體" w:hint="eastAsia"/>
          <w:b/>
          <w:color w:val="000000"/>
        </w:rPr>
      </w:pPr>
      <w:r w:rsidRPr="00261B60">
        <w:rPr>
          <w:rFonts w:ascii="標楷體" w:eastAsia="標楷體" w:hAnsi="標楷體" w:hint="eastAsia"/>
          <w:b/>
          <w:color w:val="000000"/>
        </w:rPr>
        <w:t>三、研究方法：</w:t>
      </w:r>
    </w:p>
    <w:p w:rsidR="00C73079" w:rsidRDefault="00261B60" w:rsidP="00C73079">
      <w:pPr>
        <w:jc w:val="both"/>
        <w:rPr>
          <w:rFonts w:eastAsia="標楷體"/>
        </w:rPr>
      </w:pPr>
      <w:r w:rsidRPr="00261B60">
        <w:rPr>
          <w:rFonts w:ascii="標楷體" w:eastAsia="標楷體" w:hAnsi="標楷體" w:hint="eastAsia"/>
          <w:color w:val="000000"/>
        </w:rPr>
        <w:t xml:space="preserve">　　</w:t>
      </w:r>
      <w:r w:rsidR="001C352E">
        <w:rPr>
          <w:rFonts w:ascii="標楷體" w:eastAsia="標楷體" w:hAnsi="標楷體" w:hint="eastAsia"/>
          <w:color w:val="000000"/>
        </w:rPr>
        <w:t>本</w:t>
      </w:r>
      <w:r w:rsidR="00C73079">
        <w:rPr>
          <w:rFonts w:ascii="標楷體" w:eastAsia="標楷體" w:hAnsi="標楷體" w:hint="eastAsia"/>
          <w:color w:val="000000"/>
        </w:rPr>
        <w:t>計畫</w:t>
      </w:r>
      <w:r w:rsidR="001C352E">
        <w:rPr>
          <w:rFonts w:ascii="標楷體" w:eastAsia="標楷體" w:hAnsi="標楷體" w:hint="eastAsia"/>
          <w:color w:val="000000"/>
        </w:rPr>
        <w:t>為</w:t>
      </w:r>
      <w:r w:rsidR="00C73079">
        <w:rPr>
          <w:rFonts w:ascii="標楷體" w:eastAsia="標楷體" w:hAnsi="標楷體" w:hint="eastAsia"/>
          <w:color w:val="000000"/>
        </w:rPr>
        <w:t>前瞻</w:t>
      </w:r>
      <w:r w:rsidR="00D845D0" w:rsidRPr="00D845D0">
        <w:rPr>
          <w:rFonts w:ascii="標楷體" w:eastAsia="標楷體" w:hAnsi="標楷體" w:hint="eastAsia"/>
          <w:color w:val="000000"/>
        </w:rPr>
        <w:t>世代</w:t>
      </w:r>
      <w:r w:rsidR="001C352E">
        <w:rPr>
          <w:rFonts w:ascii="標楷體" w:eastAsia="標楷體" w:hAnsi="標楷體" w:hint="eastAsia"/>
          <w:color w:val="000000"/>
        </w:rPr>
        <w:t>(</w:t>
      </w:r>
      <w:r w:rsidR="00C73079">
        <w:rPr>
          <w:rFonts w:ascii="標楷體" w:eastAsia="標楷體" w:hAnsi="標楷體"/>
          <w:color w:val="000000"/>
        </w:rPr>
        <w:t xml:space="preserve">prospective </w:t>
      </w:r>
      <w:r w:rsidR="001C352E">
        <w:rPr>
          <w:rFonts w:ascii="標楷體" w:eastAsia="標楷體" w:hAnsi="標楷體" w:hint="eastAsia"/>
          <w:color w:val="000000"/>
        </w:rPr>
        <w:t>cohort)</w:t>
      </w:r>
      <w:r w:rsidR="00D845D0" w:rsidRPr="00D845D0">
        <w:rPr>
          <w:rFonts w:ascii="標楷體" w:eastAsia="標楷體" w:hAnsi="標楷體" w:hint="eastAsia"/>
          <w:color w:val="000000"/>
        </w:rPr>
        <w:t>研究，</w:t>
      </w:r>
      <w:r w:rsidR="001C352E">
        <w:rPr>
          <w:rFonts w:ascii="標楷體" w:eastAsia="標楷體" w:hAnsi="標楷體" w:hint="eastAsia"/>
          <w:color w:val="000000"/>
        </w:rPr>
        <w:t>建立在2011</w:t>
      </w:r>
      <w:r w:rsidR="00C73079">
        <w:rPr>
          <w:rFonts w:ascii="標楷體" w:eastAsia="標楷體" w:hAnsi="標楷體" w:hint="eastAsia"/>
          <w:color w:val="000000"/>
        </w:rPr>
        <w:t>年7</w:t>
      </w:r>
      <w:r w:rsidR="001C352E">
        <w:rPr>
          <w:rFonts w:ascii="標楷體" w:eastAsia="標楷體" w:hAnsi="標楷體" w:hint="eastAsia"/>
          <w:color w:val="000000"/>
        </w:rPr>
        <w:t>月</w:t>
      </w:r>
      <w:r w:rsidR="00C73079">
        <w:rPr>
          <w:rFonts w:ascii="標楷體" w:eastAsia="標楷體" w:hAnsi="標楷體" w:hint="eastAsia"/>
          <w:color w:val="000000"/>
        </w:rPr>
        <w:t>起從義大醫院，羅東博愛醫院，以及台大雲林分院</w:t>
      </w:r>
      <w:r w:rsidR="001C352E">
        <w:rPr>
          <w:rFonts w:ascii="標楷體" w:eastAsia="標楷體" w:hAnsi="標楷體" w:hint="eastAsia"/>
          <w:color w:val="000000"/>
        </w:rPr>
        <w:t>收集的慢性B型肝炎病人臨床資料與血液檢體。所有</w:t>
      </w:r>
      <w:r w:rsidR="00C73079">
        <w:rPr>
          <w:rFonts w:ascii="標楷體" w:eastAsia="標楷體" w:hAnsi="標楷體" w:hint="eastAsia"/>
          <w:color w:val="000000"/>
        </w:rPr>
        <w:t>患者皆接受類核苷酸藥物治療至少三年，停藥時血中已經檢測不到B肝病毒，停藥後</w:t>
      </w:r>
      <w:r w:rsidR="001C352E">
        <w:rPr>
          <w:rFonts w:ascii="標楷體" w:eastAsia="標楷體" w:hAnsi="標楷體" w:hint="eastAsia"/>
          <w:color w:val="000000"/>
        </w:rPr>
        <w:t>每三個月回診追蹤，接受臨床，生化，血清，和病毒學方面的檢測，</w:t>
      </w:r>
      <w:r w:rsidR="001C352E">
        <w:rPr>
          <w:rFonts w:eastAsia="標楷體" w:hint="eastAsia"/>
        </w:rPr>
        <w:t>一直追蹤到</w:t>
      </w:r>
      <w:r w:rsidR="00C73079">
        <w:rPr>
          <w:rFonts w:eastAsia="標楷體" w:hint="eastAsia"/>
        </w:rPr>
        <w:t>患者再度使用藥物或退出研究為止。患者停藥後若血中</w:t>
      </w:r>
      <w:r w:rsidR="00C73079">
        <w:rPr>
          <w:rFonts w:eastAsia="標楷體" w:hint="eastAsia"/>
        </w:rPr>
        <w:t>B</w:t>
      </w:r>
      <w:r w:rsidR="00C73079">
        <w:rPr>
          <w:rFonts w:eastAsia="標楷體" w:hint="eastAsia"/>
        </w:rPr>
        <w:t>肝</w:t>
      </w:r>
      <w:r w:rsidR="00C73079">
        <w:rPr>
          <w:rFonts w:eastAsia="標楷體" w:hint="eastAsia"/>
        </w:rPr>
        <w:t>病毒</w:t>
      </w:r>
      <w:r w:rsidR="00C73079">
        <w:rPr>
          <w:rFonts w:eastAsia="標楷體" w:hint="eastAsia"/>
        </w:rPr>
        <w:t>超過</w:t>
      </w:r>
      <w:r w:rsidR="00C73079">
        <w:rPr>
          <w:rFonts w:eastAsia="標楷體" w:hint="eastAsia"/>
        </w:rPr>
        <w:t>2000 IU/mL</w:t>
      </w:r>
      <w:r w:rsidR="00C73079">
        <w:rPr>
          <w:rFonts w:eastAsia="標楷體" w:hint="eastAsia"/>
        </w:rPr>
        <w:t>，則定義為發生病毒學復</w:t>
      </w:r>
      <w:r w:rsidR="00C73079">
        <w:rPr>
          <w:rFonts w:eastAsia="標楷體" w:hint="eastAsia"/>
        </w:rPr>
        <w:t>發</w:t>
      </w:r>
      <w:r w:rsidR="00C73079">
        <w:rPr>
          <w:rFonts w:eastAsia="標楷體" w:hint="eastAsia"/>
        </w:rPr>
        <w:t>。</w:t>
      </w:r>
    </w:p>
    <w:p w:rsidR="00261B60" w:rsidRDefault="00C73079" w:rsidP="00C73079">
      <w:pPr>
        <w:jc w:val="both"/>
        <w:rPr>
          <w:rFonts w:ascii="標楷體" w:eastAsia="標楷體" w:hAnsi="標楷體" w:hint="eastAsia"/>
          <w:color w:val="000000"/>
        </w:rPr>
      </w:pPr>
      <w:r>
        <w:rPr>
          <w:rFonts w:eastAsia="標楷體" w:hint="eastAsia"/>
        </w:rPr>
        <w:t xml:space="preserve">    </w:t>
      </w:r>
      <w:r w:rsidR="005F4B5A">
        <w:rPr>
          <w:rFonts w:eastAsia="標楷體" w:hint="eastAsia"/>
        </w:rPr>
        <w:t>我們將分析患者發生病毒學復發後的臨床後果，包括死亡，肝臟衰竭，</w:t>
      </w:r>
      <w:r w:rsidR="005F4B5A">
        <w:rPr>
          <w:rFonts w:eastAsia="標楷體" w:hint="eastAsia"/>
        </w:rPr>
        <w:t>B</w:t>
      </w:r>
      <w:r w:rsidR="005F4B5A">
        <w:rPr>
          <w:rFonts w:eastAsia="標楷體" w:hint="eastAsia"/>
        </w:rPr>
        <w:t>型肝炎急性發作，臨床肝炎等，此外，我們也將分析病毒學復發後表面抗原濃度的變化</w:t>
      </w:r>
      <w:r w:rsidR="00A64745">
        <w:rPr>
          <w:rFonts w:ascii="標楷體" w:eastAsia="標楷體" w:hAnsi="標楷體" w:hint="eastAsia"/>
          <w:color w:val="000000"/>
        </w:rPr>
        <w:t>。</w:t>
      </w:r>
    </w:p>
    <w:p w:rsidR="00261B60" w:rsidRPr="00A64745" w:rsidRDefault="00261B60" w:rsidP="00261B60">
      <w:pPr>
        <w:rPr>
          <w:rFonts w:ascii="標楷體" w:eastAsia="標楷體" w:hAnsi="標楷體" w:hint="eastAsia"/>
          <w:color w:val="000000"/>
        </w:rPr>
      </w:pPr>
    </w:p>
    <w:p w:rsidR="001B6C88" w:rsidRDefault="001B6C88" w:rsidP="00261B60">
      <w:pPr>
        <w:rPr>
          <w:rFonts w:ascii="標楷體" w:eastAsia="標楷體" w:hAnsi="標楷體" w:hint="eastAsia"/>
          <w:color w:val="000000"/>
        </w:rPr>
      </w:pPr>
    </w:p>
    <w:p w:rsidR="001B6C88" w:rsidRDefault="001B6C88" w:rsidP="00261B60">
      <w:pPr>
        <w:rPr>
          <w:rFonts w:ascii="標楷體" w:eastAsia="標楷體" w:hAnsi="標楷體" w:hint="eastAsia"/>
          <w:color w:val="000000"/>
        </w:rPr>
      </w:pPr>
    </w:p>
    <w:p w:rsidR="00B07BAC" w:rsidRPr="00261B60" w:rsidRDefault="00B07BAC" w:rsidP="00261B60">
      <w:pPr>
        <w:rPr>
          <w:rFonts w:ascii="標楷體" w:eastAsia="標楷體" w:hAnsi="標楷體" w:hint="eastAsia"/>
          <w:bCs/>
          <w:noProof/>
        </w:rPr>
      </w:pPr>
      <w:r w:rsidRPr="00261B60">
        <w:rPr>
          <w:rFonts w:ascii="標楷體" w:eastAsia="標楷體" w:hAnsi="標楷體" w:hint="eastAsia"/>
          <w:b/>
          <w:bCs/>
          <w:noProof/>
        </w:rPr>
        <w:t>關鍵詞:</w:t>
      </w:r>
      <w:r w:rsidR="008E62B2" w:rsidRPr="00261B60">
        <w:rPr>
          <w:rFonts w:ascii="標楷體" w:eastAsia="標楷體" w:hAnsi="標楷體" w:hint="eastAsia"/>
          <w:bCs/>
          <w:noProof/>
        </w:rPr>
        <w:t>慢性</w:t>
      </w:r>
      <w:r w:rsidR="00A64745">
        <w:rPr>
          <w:rFonts w:ascii="標楷體" w:eastAsia="標楷體" w:hAnsi="標楷體" w:hint="eastAsia"/>
          <w:bCs/>
          <w:noProof/>
        </w:rPr>
        <w:t>B</w:t>
      </w:r>
      <w:r w:rsidR="001B6C88">
        <w:rPr>
          <w:rFonts w:ascii="標楷體" w:eastAsia="標楷體" w:hAnsi="標楷體" w:hint="eastAsia"/>
          <w:bCs/>
          <w:noProof/>
        </w:rPr>
        <w:t>性</w:t>
      </w:r>
      <w:r w:rsidR="005F4B5A">
        <w:rPr>
          <w:rFonts w:ascii="標楷體" w:eastAsia="標楷體" w:hAnsi="標楷體" w:hint="eastAsia"/>
          <w:bCs/>
          <w:noProof/>
        </w:rPr>
        <w:t>肝炎；類核苷酸藥物；表面抗原</w:t>
      </w:r>
    </w:p>
    <w:p w:rsidR="00387823" w:rsidRPr="005F4B5A" w:rsidRDefault="00387823" w:rsidP="004E2477">
      <w:pPr>
        <w:widowControl/>
        <w:tabs>
          <w:tab w:val="left" w:pos="-28"/>
        </w:tabs>
        <w:kinsoku w:val="0"/>
        <w:jc w:val="both"/>
        <w:textAlignment w:val="bottom"/>
        <w:rPr>
          <w:rFonts w:ascii="標楷體" w:eastAsia="標楷體" w:hAnsi="標楷體"/>
          <w:b/>
          <w:color w:val="000000"/>
        </w:rPr>
        <w:sectPr w:rsidR="00387823" w:rsidRPr="005F4B5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552D7" w:rsidRDefault="00F552D7" w:rsidP="00D12F75">
      <w:pPr>
        <w:widowControl/>
        <w:tabs>
          <w:tab w:val="left" w:pos="-28"/>
        </w:tabs>
        <w:kinsoku w:val="0"/>
        <w:spacing w:line="360" w:lineRule="auto"/>
        <w:jc w:val="both"/>
        <w:textAlignment w:val="bottom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研究計畫目的及背景說明</w:t>
      </w:r>
    </w:p>
    <w:p w:rsidR="00CD1D6A" w:rsidRDefault="00CF6FC0" w:rsidP="00D12F75">
      <w:pPr>
        <w:spacing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A51206" w:rsidRPr="00A51206">
        <w:rPr>
          <w:color w:val="000000"/>
        </w:rPr>
        <w:t>Hepatitis B virus (HBV) infection ranks among t</w:t>
      </w:r>
      <w:r w:rsidR="00A51206">
        <w:rPr>
          <w:color w:val="000000"/>
        </w:rPr>
        <w:t>he top global health priorities</w:t>
      </w:r>
      <w:r w:rsidR="00CD1D6A" w:rsidRPr="00CD1D6A">
        <w:rPr>
          <w:color w:val="000000"/>
        </w:rPr>
        <w:t xml:space="preserve">. </w:t>
      </w:r>
      <w:r w:rsidR="00A51206" w:rsidRPr="00A51206">
        <w:rPr>
          <w:color w:val="000000"/>
        </w:rPr>
        <w:t xml:space="preserve">Chronic hepatitis B (CHB), which usually persists throughout life in individuals who perinatally acquired the infection, is the leading cause of end-stage liver disease and hepatocellular carcinoma (HCC) around the </w:t>
      </w:r>
      <w:r w:rsidR="00A51206">
        <w:rPr>
          <w:rFonts w:hint="eastAsia"/>
          <w:color w:val="000000"/>
        </w:rPr>
        <w:t>aro</w:t>
      </w:r>
      <w:r w:rsidR="00A51206">
        <w:rPr>
          <w:color w:val="000000"/>
        </w:rPr>
        <w:t>und</w:t>
      </w:r>
      <w:r w:rsidR="00A51206" w:rsidRPr="00A51206">
        <w:rPr>
          <w:color w:val="000000"/>
        </w:rPr>
        <w:t>.</w:t>
      </w:r>
      <w:r w:rsidR="00A51206">
        <w:rPr>
          <w:color w:val="000000"/>
        </w:rPr>
        <w:t xml:space="preserve"> </w:t>
      </w:r>
      <w:r w:rsidR="00CD1D6A" w:rsidRPr="00CD1D6A">
        <w:rPr>
          <w:color w:val="000000"/>
        </w:rPr>
        <w:t xml:space="preserve">It is endemic in Asia, particularly in China and Taiwan where most of the patients were infected perinatally or in childhood. </w:t>
      </w:r>
      <w:r w:rsidR="00F13BFF">
        <w:rPr>
          <w:color w:val="000000"/>
        </w:rPr>
        <w:t>H</w:t>
      </w:r>
      <w:r w:rsidR="00A51206">
        <w:rPr>
          <w:color w:val="000000"/>
        </w:rPr>
        <w:t>ow to improve clinical outc</w:t>
      </w:r>
      <w:r w:rsidR="00F13BFF">
        <w:rPr>
          <w:color w:val="000000"/>
        </w:rPr>
        <w:t xml:space="preserve">omes of infected patients is an urgent but unresolved issue in Taiwan. </w:t>
      </w:r>
    </w:p>
    <w:p w:rsidR="00CF6FC0" w:rsidRDefault="00CD1D6A" w:rsidP="00D12F75">
      <w:pPr>
        <w:spacing w:line="360" w:lineRule="auto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 w:rsidRPr="00CD1D6A">
        <w:rPr>
          <w:color w:val="000000"/>
        </w:rPr>
        <w:t>Nucleoside and nucleotide analogues (NAs) effectively inhibit DNA polymerase of hepatitis B virus (HBV) and potently suppress viral replication. Consistent evidence from randomized placebo-controlled trials has established the efficacy of NAs in inducing HBeAg seroconversion. However, the off-treatment durability of antiviral therapy with NA remains unsatisfactory. There has been a large body of evidence indicating that substantial viral replication may resume with recurrence of active hepatitis after discontinuation of NA</w:t>
      </w:r>
      <w:r>
        <w:rPr>
          <w:rFonts w:hint="eastAsia"/>
          <w:color w:val="000000"/>
        </w:rPr>
        <w:t xml:space="preserve">. </w:t>
      </w:r>
      <w:r w:rsidR="00F13BFF">
        <w:rPr>
          <w:color w:val="000000"/>
        </w:rPr>
        <w:t xml:space="preserve">We have previously demonstrated a high risk of relapse in end-of-therapy HBeAg-positive patients, who should not discontinue medication at all. Among those with negative HBeAg, there is ongoing controversy surrounding whether they should resume NAs following virological relapse. </w:t>
      </w:r>
    </w:p>
    <w:p w:rsidR="006848D2" w:rsidRDefault="00F552D7" w:rsidP="00D12F75">
      <w:pPr>
        <w:spacing w:line="360" w:lineRule="auto"/>
        <w:jc w:val="both"/>
        <w:rPr>
          <w:rFonts w:eastAsia="標楷體"/>
          <w:kern w:val="0"/>
        </w:rPr>
      </w:pPr>
      <w:r>
        <w:rPr>
          <w:color w:val="000000"/>
        </w:rPr>
        <w:t xml:space="preserve">    </w:t>
      </w:r>
      <w:r w:rsidR="00F13BFF">
        <w:rPr>
          <w:rFonts w:eastAsia="標楷體"/>
          <w:kern w:val="0"/>
        </w:rPr>
        <w:t>On the basis of</w:t>
      </w:r>
      <w:r w:rsidR="00F13BFF">
        <w:rPr>
          <w:rFonts w:eastAsia="標楷體" w:hint="eastAsia"/>
          <w:kern w:val="0"/>
        </w:rPr>
        <w:t xml:space="preserve"> our previous research, </w:t>
      </w:r>
      <w:r w:rsidR="00F13BFF">
        <w:rPr>
          <w:rFonts w:eastAsia="標楷體"/>
          <w:kern w:val="0"/>
        </w:rPr>
        <w:t xml:space="preserve">we proposed in this study to investigate the clinical consequences of virological relapse in HBeAg-negative patients after discontinuation of NAs, in order to clarify if immediate retreatment is indicated. </w:t>
      </w:r>
    </w:p>
    <w:p w:rsidR="00F552D7" w:rsidRDefault="006848D2" w:rsidP="00D12F75">
      <w:pPr>
        <w:spacing w:line="360" w:lineRule="auto"/>
        <w:jc w:val="both"/>
        <w:rPr>
          <w:color w:val="000000"/>
        </w:rPr>
      </w:pPr>
      <w:r>
        <w:rPr>
          <w:rFonts w:eastAsia="標楷體"/>
          <w:kern w:val="0"/>
        </w:rPr>
        <w:t xml:space="preserve"> </w:t>
      </w:r>
    </w:p>
    <w:p w:rsidR="00F552D7" w:rsidRDefault="00F552D7" w:rsidP="00D12F75">
      <w:pPr>
        <w:widowControl/>
        <w:kinsoku w:val="0"/>
        <w:spacing w:line="360" w:lineRule="auto"/>
        <w:ind w:left="567" w:hanging="482"/>
        <w:jc w:val="both"/>
        <w:textAlignment w:val="bottom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研究方法及步驟：</w:t>
      </w:r>
    </w:p>
    <w:p w:rsidR="00F552D7" w:rsidRPr="004E2477" w:rsidRDefault="00F552D7" w:rsidP="00D12F75">
      <w:pPr>
        <w:widowControl/>
        <w:kinsoku w:val="0"/>
        <w:spacing w:line="360" w:lineRule="auto"/>
        <w:jc w:val="both"/>
        <w:textAlignment w:val="bottom"/>
        <w:rPr>
          <w:rFonts w:eastAsia="標楷體" w:hint="eastAsia"/>
          <w:b/>
        </w:rPr>
      </w:pPr>
      <w:r w:rsidRPr="004E2477">
        <w:rPr>
          <w:rFonts w:ascii="標楷體" w:eastAsia="標楷體" w:hAnsi="標楷體" w:hint="eastAsia"/>
        </w:rPr>
        <w:t>(一)受試者選擇標準</w:t>
      </w:r>
      <w:r w:rsidRPr="004E2477">
        <w:rPr>
          <w:rFonts w:eastAsia="標楷體"/>
        </w:rPr>
        <w:t>（</w:t>
      </w:r>
      <w:r w:rsidRPr="004E2477">
        <w:rPr>
          <w:rFonts w:eastAsia="標楷體"/>
        </w:rPr>
        <w:t>Patient eligibility</w:t>
      </w:r>
      <w:r w:rsidRPr="004E2477">
        <w:rPr>
          <w:rFonts w:eastAsia="標楷體"/>
        </w:rPr>
        <w:t>）</w:t>
      </w:r>
    </w:p>
    <w:p w:rsidR="00D12F75" w:rsidRDefault="00D12F75" w:rsidP="00D12F75">
      <w:pPr>
        <w:autoSpaceDE w:val="0"/>
        <w:autoSpaceDN w:val="0"/>
        <w:adjustRightInd w:val="0"/>
        <w:spacing w:line="360" w:lineRule="auto"/>
        <w:ind w:firstLineChars="200" w:firstLine="480"/>
        <w:jc w:val="both"/>
      </w:pPr>
      <w:r>
        <w:t>This is a cohort study based on analysis of consecutive CHB patients treated with NA in E-Da Hospital,</w:t>
      </w:r>
      <w:r w:rsidR="00F13BFF">
        <w:t xml:space="preserve"> Lotung Poh-Ai Hospital, and National Taiwan University </w:t>
      </w:r>
      <w:r w:rsidR="00F13BFF">
        <w:lastRenderedPageBreak/>
        <w:t xml:space="preserve">Hospital Yun-lin Branch, of which were </w:t>
      </w:r>
      <w:r>
        <w:t>teaching hospital</w:t>
      </w:r>
      <w:r w:rsidR="00F13BFF">
        <w:t>s</w:t>
      </w:r>
      <w:r>
        <w:t xml:space="preserve"> in Taiwan. The study protocol has been approved by the institutional review board. </w:t>
      </w:r>
    </w:p>
    <w:p w:rsidR="00F13BFF" w:rsidRDefault="00F13BFF" w:rsidP="00F13BFF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eastAsia="標楷體"/>
          <w:kern w:val="0"/>
        </w:rPr>
      </w:pPr>
      <w:r w:rsidRPr="00F13BFF">
        <w:t>From July, 2011 to December, 2014, consecutive CHB patients who were about to discontinue NA therapy were screened for eligibility. The inclusion criteria were age more than 20 years, a diagnosis of CHB for longer than 6 months before treatment commencement, use of NA (lamivudine, adefovir, telbivudine, entecavir, tenofovir) for a minimum of 3 years, and undetectable viral DNA in serum at the time of stopping NA therapy. The exclusion criteria were co-infection with human immunodeficiency virus or hepatitis C virus, malignant disease including HCC, cirrhosis, history of hepatic encephalopathy, variceal hemorrhage, organ transplantation, prior exposure to interferon alpha for more than one month, and use of cytotoxic or immunosuppressive agent.</w:t>
      </w:r>
    </w:p>
    <w:p w:rsidR="00F13BFF" w:rsidRDefault="00F13BFF" w:rsidP="00F13BFF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</w:p>
    <w:p w:rsidR="00F13BFF" w:rsidRDefault="000B1A12" w:rsidP="00F13BFF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(二)試驗設計與流程：</w:t>
      </w:r>
    </w:p>
    <w:p w:rsidR="000B1A12" w:rsidRDefault="00F13BFF" w:rsidP="00F13BFF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eastAsia="標楷體"/>
        </w:rPr>
      </w:pPr>
      <w:r w:rsidRPr="00F13BFF">
        <w:rPr>
          <w:rFonts w:eastAsia="標楷體"/>
        </w:rPr>
        <w:t xml:space="preserve">Enrolled participants were evaluated for demographic information, biochemical tests, serological markers (HBsAg, HBeAg, anti-HBs, anti-HBe), and HBV DNA at the cessation of NA treatment, at which time point the study baseline was set. Thereafter, they were followed up every 3 months for physical checkup and liver function measurement. Abdominal ultrasound and serum alpha-fetoprotein were examined every 6 months in general, and at a shorter interval if clinically indicated. At each visit, serum samples were collected and then sent to a central laboratory in the Taipei Pathology Institutes (Taipei, Taiwan) for quantification of HBsAg and viral DNA. Serum HBsAg was quantified by the automated micro-particle immunoassay (Abbott Architect i2000, Abbott Park, IL, USA; automatic range 0.05~250 IU/mL), in conjunction with dilution method for samples with a concentration exceeding 250 IU/mL. Serum HBV DNA was quantified by the commercialized polymerase chain </w:t>
      </w:r>
      <w:r w:rsidRPr="00F13BFF">
        <w:rPr>
          <w:rFonts w:eastAsia="標楷體"/>
        </w:rPr>
        <w:lastRenderedPageBreak/>
        <w:t>reaction method (COBAS TaqMan HBV Test, version 2.0, Roche Molecular Systems, Inc., USA) with a detection range from 20 to 1.7 x 108 IU/mL.</w:t>
      </w:r>
    </w:p>
    <w:p w:rsidR="00F13BFF" w:rsidRPr="00F13BFF" w:rsidRDefault="00F13BFF" w:rsidP="00F13BFF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eastAsia="標楷體" w:hint="eastAsia"/>
          <w:kern w:val="0"/>
        </w:rPr>
      </w:pPr>
      <w:r>
        <w:rPr>
          <w:rFonts w:eastAsia="標楷體"/>
        </w:rPr>
        <w:t xml:space="preserve">We closely observed clinical outcomes including death, hepatic decompensation, severe acute exacerbation of CHB, clinical hepatitis after occurrence of virological relapse. We also measured change </w:t>
      </w:r>
      <w:r w:rsidR="00704427">
        <w:rPr>
          <w:rFonts w:eastAsia="標楷體"/>
        </w:rPr>
        <w:t xml:space="preserve">in serum concentration </w:t>
      </w:r>
      <w:r>
        <w:rPr>
          <w:rFonts w:eastAsia="標楷體"/>
        </w:rPr>
        <w:t xml:space="preserve">of </w:t>
      </w:r>
      <w:r w:rsidR="00704427">
        <w:rPr>
          <w:rFonts w:eastAsia="標楷體"/>
        </w:rPr>
        <w:t xml:space="preserve">hepatitis B surface antigen following virological relapse. </w:t>
      </w:r>
    </w:p>
    <w:p w:rsidR="000B1A12" w:rsidRDefault="00F552D7" w:rsidP="00D12F75">
      <w:pPr>
        <w:autoSpaceDE w:val="0"/>
        <w:autoSpaceDN w:val="0"/>
        <w:adjustRightInd w:val="0"/>
        <w:spacing w:line="360" w:lineRule="auto"/>
        <w:jc w:val="both"/>
        <w:rPr>
          <w:rFonts w:hint="eastAsia"/>
          <w:lang w:val="en-GB"/>
        </w:rPr>
      </w:pPr>
      <w:r>
        <w:rPr>
          <w:rFonts w:ascii="標楷體" w:eastAsia="標楷體" w:hAnsi="標楷體" w:hint="eastAsia"/>
        </w:rPr>
        <w:t>（三）資料之蒐集處理評估及統計分析方法:</w:t>
      </w:r>
    </w:p>
    <w:p w:rsidR="00B07BAC" w:rsidRPr="000B1A12" w:rsidRDefault="00D12F75" w:rsidP="00D12F75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hint="eastAsia"/>
          <w:lang w:val="en-GB"/>
        </w:rPr>
      </w:pPr>
      <w:r w:rsidRPr="00D12F75">
        <w:rPr>
          <w:color w:val="000000"/>
          <w:szCs w:val="22"/>
          <w:lang w:val="en-GB"/>
        </w:rPr>
        <w:t>Continuous variables are expressed with median and interquartile range (IQR) and analyzed by Wilcoxon rank sum test, whereas categorical variables expressed with proportion and examined by Fi</w:t>
      </w:r>
      <w:r>
        <w:rPr>
          <w:color w:val="000000"/>
          <w:szCs w:val="22"/>
          <w:lang w:val="en-GB"/>
        </w:rPr>
        <w:t>sher’s exact test. Patients are classified according to whether they use older or newer generation of NAs</w:t>
      </w:r>
      <w:r w:rsidRPr="00D12F75">
        <w:rPr>
          <w:color w:val="000000"/>
          <w:szCs w:val="22"/>
          <w:lang w:val="en-GB"/>
        </w:rPr>
        <w:t xml:space="preserve">. </w:t>
      </w:r>
      <w:r w:rsidR="009A4899">
        <w:rPr>
          <w:color w:val="000000"/>
          <w:szCs w:val="22"/>
          <w:lang w:val="en-GB"/>
        </w:rPr>
        <w:t xml:space="preserve">Those who mixed different NAs are excluded from analysis. </w:t>
      </w:r>
      <w:r w:rsidRPr="00D12F75">
        <w:rPr>
          <w:color w:val="000000"/>
          <w:szCs w:val="22"/>
          <w:lang w:val="en-GB"/>
        </w:rPr>
        <w:t xml:space="preserve">Multivariate logistic regression analysis </w:t>
      </w:r>
      <w:r>
        <w:rPr>
          <w:color w:val="000000"/>
          <w:szCs w:val="22"/>
          <w:lang w:val="en-GB"/>
        </w:rPr>
        <w:t>for outcomes will be</w:t>
      </w:r>
      <w:r w:rsidRPr="00D12F75">
        <w:rPr>
          <w:color w:val="000000"/>
          <w:szCs w:val="22"/>
          <w:lang w:val="en-GB"/>
        </w:rPr>
        <w:t xml:space="preserve"> performed to adjust for potential confounding factors that included underlying comorbidity, drinking habit, choices of antiviral therapy, and the baseline</w:t>
      </w:r>
      <w:r>
        <w:rPr>
          <w:color w:val="000000"/>
          <w:szCs w:val="22"/>
          <w:lang w:val="en-GB"/>
        </w:rPr>
        <w:t xml:space="preserve"> viral load (HBV DNA). Hazard ratio</w:t>
      </w:r>
      <w:r w:rsidRPr="00D12F75">
        <w:rPr>
          <w:color w:val="000000"/>
          <w:szCs w:val="22"/>
          <w:lang w:val="en-GB"/>
        </w:rPr>
        <w:t xml:space="preserve">s </w:t>
      </w:r>
      <w:r>
        <w:rPr>
          <w:color w:val="000000"/>
          <w:szCs w:val="22"/>
          <w:lang w:val="en-GB"/>
        </w:rPr>
        <w:t xml:space="preserve">are </w:t>
      </w:r>
      <w:r w:rsidRPr="00D12F75">
        <w:rPr>
          <w:color w:val="000000"/>
          <w:szCs w:val="22"/>
          <w:lang w:val="en-GB"/>
        </w:rPr>
        <w:t>computed with an estimation of 95% confidence interva</w:t>
      </w:r>
      <w:r>
        <w:rPr>
          <w:color w:val="000000"/>
          <w:szCs w:val="22"/>
          <w:lang w:val="en-GB"/>
        </w:rPr>
        <w:t>l (CI). Statistical analyses ar</w:t>
      </w:r>
      <w:r w:rsidRPr="00D12F75">
        <w:rPr>
          <w:color w:val="000000"/>
          <w:szCs w:val="22"/>
          <w:lang w:val="en-GB"/>
        </w:rPr>
        <w:t>e conducted using commercially available software (Stata, version 9.1; Stata Corp, College</w:t>
      </w:r>
      <w:r>
        <w:rPr>
          <w:color w:val="000000"/>
          <w:szCs w:val="22"/>
          <w:lang w:val="en-GB"/>
        </w:rPr>
        <w:t xml:space="preserve"> Station, TX, USA). All tests a</w:t>
      </w:r>
      <w:r w:rsidRPr="00D12F75">
        <w:rPr>
          <w:color w:val="000000"/>
          <w:szCs w:val="22"/>
          <w:lang w:val="en-GB"/>
        </w:rPr>
        <w:t>re two-sided with significance set at p value less than 0.05</w:t>
      </w:r>
      <w:r w:rsidR="00B33CC1" w:rsidRPr="00B33CC1">
        <w:rPr>
          <w:color w:val="000000"/>
          <w:szCs w:val="22"/>
          <w:lang w:val="en-GB"/>
        </w:rPr>
        <w:t xml:space="preserve">  </w:t>
      </w:r>
    </w:p>
    <w:p w:rsidR="00B33CC1" w:rsidRPr="00D500D6" w:rsidRDefault="00B33CC1" w:rsidP="00D12F75">
      <w:pPr>
        <w:spacing w:line="360" w:lineRule="auto"/>
        <w:jc w:val="both"/>
        <w:rPr>
          <w:rFonts w:ascii="標楷體" w:eastAsia="標楷體" w:hint="eastAsia"/>
          <w:sz w:val="22"/>
          <w:lang w:val="en-GB"/>
        </w:rPr>
      </w:pPr>
    </w:p>
    <w:p w:rsidR="000B1A12" w:rsidRDefault="00F552D7" w:rsidP="00D12F75">
      <w:pPr>
        <w:spacing w:line="360" w:lineRule="auto"/>
        <w:jc w:val="both"/>
        <w:rPr>
          <w:rFonts w:hint="eastAsia"/>
          <w:b/>
          <w:bCs/>
          <w:caps/>
          <w:color w:val="000000"/>
          <w:sz w:val="20"/>
        </w:rPr>
      </w:pPr>
      <w:r w:rsidRPr="00D500D6">
        <w:rPr>
          <w:rFonts w:hint="eastAsia"/>
          <w:b/>
          <w:bCs/>
          <w:caps/>
          <w:color w:val="000000"/>
          <w:szCs w:val="32"/>
        </w:rPr>
        <w:t xml:space="preserve">References: 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1.</w:t>
      </w:r>
      <w:r w:rsidRPr="0008381F">
        <w:rPr>
          <w:rFonts w:ascii="Times New Roman" w:hAnsi="Times New Roman" w:cs="Times New Roman"/>
        </w:rPr>
        <w:tab/>
        <w:t>Liaw YF, Chu CM. Hepatitis B virus infection. Lancet 2009;373:582-92.</w:t>
      </w:r>
    </w:p>
    <w:p w:rsid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2.</w:t>
      </w:r>
      <w:r w:rsidRPr="0008381F">
        <w:rPr>
          <w:rFonts w:ascii="Times New Roman" w:hAnsi="Times New Roman" w:cs="Times New Roman"/>
        </w:rPr>
        <w:tab/>
        <w:t>El-Serag HB. Epidemiology of viral hepatitis and hepatocellular carcinoma. Gastroenterology 2012;142:1264-1273 e1.</w:t>
      </w:r>
    </w:p>
    <w:p w:rsidR="00704427" w:rsidRDefault="002367E3" w:rsidP="00704427">
      <w:pPr>
        <w:pStyle w:val="EndNoteBibliography"/>
        <w:spacing w:line="480" w:lineRule="auto"/>
        <w:ind w:left="720" w:hanging="720"/>
        <w:jc w:val="both"/>
        <w:rPr>
          <w:rFonts w:eastAsia="標楷體"/>
        </w:rPr>
      </w:pPr>
      <w:r>
        <w:rPr>
          <w:rFonts w:eastAsia="標楷體"/>
        </w:rPr>
        <w:t>3</w:t>
      </w:r>
      <w:r w:rsidRPr="003B1EA2">
        <w:rPr>
          <w:rFonts w:eastAsia="標楷體"/>
        </w:rPr>
        <w:t>.</w:t>
      </w:r>
      <w:r w:rsidRPr="003B1EA2">
        <w:rPr>
          <w:rFonts w:eastAsia="標楷體"/>
        </w:rPr>
        <w:tab/>
        <w:t>Tsai WL, Chung RT. Viral hepatocarcinogenesis. Oncogene 2010;29:2309-24.</w:t>
      </w:r>
    </w:p>
    <w:p w:rsidR="00704427" w:rsidRP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eastAsia="標楷體"/>
        </w:rPr>
      </w:pPr>
      <w:r>
        <w:rPr>
          <w:rFonts w:eastAsia="標楷體"/>
        </w:rPr>
        <w:lastRenderedPageBreak/>
        <w:t xml:space="preserve">4.   </w:t>
      </w:r>
      <w:r w:rsidRPr="0008381F">
        <w:rPr>
          <w:rFonts w:ascii="Times New Roman" w:hAnsi="Times New Roman" w:cs="Times New Roman"/>
        </w:rPr>
        <w:t>European Association For The Study Of The L. EASL clinical practice guidelines: Management of chronic hepatitis B virus infection. J Hepatol 2012;57:167-85.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5.</w:t>
      </w:r>
      <w:r w:rsidRPr="0008381F">
        <w:rPr>
          <w:rFonts w:ascii="Times New Roman" w:hAnsi="Times New Roman" w:cs="Times New Roman"/>
        </w:rPr>
        <w:tab/>
        <w:t>Lok AS, McMahon BJ. Chronic hepatitis B: update 2009. Hepatology 2009;50:661-2.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6.</w:t>
      </w:r>
      <w:r w:rsidRPr="0008381F">
        <w:rPr>
          <w:rFonts w:ascii="Times New Roman" w:hAnsi="Times New Roman" w:cs="Times New Roman"/>
        </w:rPr>
        <w:tab/>
        <w:t>Lin CL, Kao JH. Recent advances in the treatment of chronic hepatitis B. Expert Opin Pharmacother 2011;12:2025-40.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7.</w:t>
      </w:r>
      <w:r w:rsidRPr="0008381F">
        <w:rPr>
          <w:rFonts w:ascii="Times New Roman" w:hAnsi="Times New Roman" w:cs="Times New Roman"/>
        </w:rPr>
        <w:tab/>
        <w:t>Chang TT, Liaw YF, Wu SS, et al. Long-term entecavir therapy results in the reversal of fibrosis/cirrhosis and continued histological improvement in patients with chronic hepatitis B. Hepatology 2010;52:886-93.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9.</w:t>
      </w:r>
      <w:r w:rsidRPr="0008381F">
        <w:rPr>
          <w:rFonts w:ascii="Times New Roman" w:hAnsi="Times New Roman" w:cs="Times New Roman"/>
        </w:rPr>
        <w:tab/>
        <w:t>Wu CY, Lin JT, Ho HJ, et al. Association of nucleos(t)ide analogue therapy with reduced risk of hepatocellular carcinoma in patients with chronic hepatitis B: a nationwide cohort study. Gastroenterology 2014;147:143-151 e5.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10.</w:t>
      </w:r>
      <w:r w:rsidRPr="0008381F">
        <w:rPr>
          <w:rFonts w:ascii="Times New Roman" w:hAnsi="Times New Roman" w:cs="Times New Roman"/>
        </w:rPr>
        <w:tab/>
        <w:t>Chiang CJ, Yang YW, Chen JD, et al. Significant reduction in end-stage liver diseases burden through the national viral hepatitis therapy program in Taiwan. Hepatology 2015;61:1154-62.</w:t>
      </w:r>
    </w:p>
    <w:p w:rsid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11.</w:t>
      </w:r>
      <w:r w:rsidRPr="0008381F">
        <w:rPr>
          <w:rFonts w:ascii="Times New Roman" w:hAnsi="Times New Roman" w:cs="Times New Roman"/>
        </w:rPr>
        <w:tab/>
        <w:t xml:space="preserve">Reijnders JG, Perquin MJ, Zhang N, et al. Nucleos(t)ide analogues only induce temporary hepatitis B e antigen seroconversion in most patients with chronic </w:t>
      </w:r>
      <w:r w:rsidRPr="0008381F">
        <w:rPr>
          <w:rFonts w:ascii="Times New Roman" w:hAnsi="Times New Roman" w:cs="Times New Roman"/>
        </w:rPr>
        <w:lastRenderedPageBreak/>
        <w:t>hepatitis B. Gastroenterology 2010;139:491-8.</w:t>
      </w:r>
    </w:p>
    <w:p w:rsid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12.</w:t>
      </w:r>
      <w:r w:rsidRPr="0008381F">
        <w:rPr>
          <w:rFonts w:ascii="Times New Roman" w:hAnsi="Times New Roman" w:cs="Times New Roman"/>
        </w:rPr>
        <w:tab/>
        <w:t>Chaung KT, Ha NB, Trinh HN, et al. High frequency of recurrent viremia after hepatitis B e antigen seroconversion and consolidation therapy. J Clin Gastroenterol 2012;46:865-70.</w:t>
      </w:r>
    </w:p>
    <w:p w:rsid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13.</w:t>
      </w:r>
      <w:r w:rsidRPr="0008381F">
        <w:rPr>
          <w:rFonts w:ascii="Times New Roman" w:hAnsi="Times New Roman" w:cs="Times New Roman"/>
        </w:rPr>
        <w:tab/>
        <w:t>Tseng TC, Liu CJ, Su TH, et al. Young chronic hepatitis B patients with nucleos(t)ide analogue-induced hepatitis B e antigen seroconversion have a higher risk of HBV reactivation. J Infect Dis 2012;206:1521-31.</w:t>
      </w:r>
    </w:p>
    <w:p w:rsidR="00B33CC1" w:rsidRP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 w:hint="eastAsia"/>
        </w:rPr>
      </w:pPr>
      <w:r w:rsidRPr="0008381F">
        <w:rPr>
          <w:rFonts w:ascii="Times New Roman" w:hAnsi="Times New Roman" w:cs="Times New Roman"/>
        </w:rPr>
        <w:t>14.</w:t>
      </w:r>
      <w:r w:rsidRPr="0008381F">
        <w:rPr>
          <w:rFonts w:ascii="Times New Roman" w:hAnsi="Times New Roman" w:cs="Times New Roman"/>
        </w:rPr>
        <w:tab/>
        <w:t>Chi H, Hansen BE, Yim C, et al. Reduced risk of relapse after long-term nucleos(t)ide analogue consolidation therapy for chronic hepatitis B. Aliment Pharmacol Ther 2015;41:867-76.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15.</w:t>
      </w:r>
      <w:r w:rsidRPr="0008381F">
        <w:rPr>
          <w:rFonts w:ascii="Times New Roman" w:hAnsi="Times New Roman" w:cs="Times New Roman"/>
        </w:rPr>
        <w:tab/>
        <w:t>Chan HL, Wong GL, Chim AM, et al. Prediction of off-treatment response to lamivudine by serum hepatitis B surface antigen quantification in hepatitis B e antigen-negative patients. Antivir Ther 2011;16:1249-57.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16.</w:t>
      </w:r>
      <w:r w:rsidRPr="0008381F">
        <w:rPr>
          <w:rFonts w:ascii="Times New Roman" w:hAnsi="Times New Roman" w:cs="Times New Roman"/>
        </w:rPr>
        <w:tab/>
        <w:t>Jeng WJ, Sheen IS, Chen YC, et al. Off-therapy durability of response to entecavir therapy in hepatitis B e antigen-negative chronic hepatitis B patients. Hepatology 2013;58:1888-96.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17.</w:t>
      </w:r>
      <w:r w:rsidRPr="0008381F">
        <w:rPr>
          <w:rFonts w:ascii="Times New Roman" w:hAnsi="Times New Roman" w:cs="Times New Roman"/>
        </w:rPr>
        <w:tab/>
        <w:t>Chen CH, Lu SN, Hung CH, et al. The role of hepatitis B surface antigen quantification in predicting HBsAg loss and HBV relapse after discontinuation of lamivudine treatment. J Hepatol 2014;61:515-22.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lastRenderedPageBreak/>
        <w:t>18.</w:t>
      </w:r>
      <w:r w:rsidRPr="0008381F">
        <w:rPr>
          <w:rFonts w:ascii="Times New Roman" w:hAnsi="Times New Roman" w:cs="Times New Roman"/>
        </w:rPr>
        <w:tab/>
        <w:t>Seto WK, Hui AJ, Wong VW, et al. Treatment cessation of entecavir in Asian patients with hepatitis B e antigen negative chronic hepatitis B: a multicentre prospective study. Gut 2015;64:667-72.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19.</w:t>
      </w:r>
      <w:r w:rsidRPr="0008381F">
        <w:rPr>
          <w:rFonts w:ascii="Times New Roman" w:hAnsi="Times New Roman" w:cs="Times New Roman"/>
        </w:rPr>
        <w:tab/>
        <w:t>Reijnders JG, Janssen HL. Relapse of chronic hepatitis B after discontinuation of nucleos(t)ide analogs: is the glass half full or half empty? Hepatology 2013;58:1885-7.</w:t>
      </w:r>
    </w:p>
    <w:p w:rsidR="00704427" w:rsidRPr="0008381F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20.</w:t>
      </w:r>
      <w:r w:rsidRPr="0008381F">
        <w:rPr>
          <w:rFonts w:ascii="Times New Roman" w:hAnsi="Times New Roman" w:cs="Times New Roman"/>
        </w:rPr>
        <w:tab/>
        <w:t>Hadziyannis S, Liaw YF. Discontinuation of long-term NA therapy in HBeAg-negative chronic hepatitis B. Gut 2014.</w:t>
      </w:r>
    </w:p>
    <w:p w:rsid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21.</w:t>
      </w:r>
      <w:r w:rsidRPr="0008381F">
        <w:rPr>
          <w:rFonts w:ascii="Times New Roman" w:hAnsi="Times New Roman" w:cs="Times New Roman"/>
        </w:rPr>
        <w:tab/>
        <w:t>Lampertico P. Oral antiviral therapy for HBeAg negative chronic hepatitis B: better stop or continue? Gut 2015;64:526-8.</w:t>
      </w:r>
    </w:p>
    <w:p w:rsidR="00704427" w:rsidRPr="00704427" w:rsidRDefault="00704427" w:rsidP="00704427">
      <w:pPr>
        <w:pStyle w:val="EndNoteBibliography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08381F">
        <w:rPr>
          <w:rFonts w:ascii="Times New Roman" w:hAnsi="Times New Roman" w:cs="Times New Roman"/>
        </w:rPr>
        <w:t>22.</w:t>
      </w:r>
      <w:r w:rsidRPr="0008381F">
        <w:rPr>
          <w:rFonts w:ascii="Times New Roman" w:hAnsi="Times New Roman" w:cs="Times New Roman"/>
        </w:rPr>
        <w:tab/>
        <w:t>Chan HL, Thompson A, Martinot-Peignoux M, et al. Hepatitis B surface antigen quantification: why and how to use it in 2011 - a core group report. J Hepatol 2011;55:1121-31</w:t>
      </w:r>
    </w:p>
    <w:p w:rsidR="00704427" w:rsidRDefault="00704427" w:rsidP="00D12F75">
      <w:pPr>
        <w:spacing w:line="360" w:lineRule="auto"/>
        <w:jc w:val="both"/>
        <w:rPr>
          <w:rFonts w:ascii="標楷體" w:eastAsia="標楷體" w:hAnsi="標楷體"/>
          <w:b/>
          <w:noProof/>
          <w:color w:val="000000"/>
          <w:szCs w:val="22"/>
          <w:lang w:val="en-GB"/>
        </w:rPr>
      </w:pPr>
    </w:p>
    <w:p w:rsidR="00704427" w:rsidRDefault="00704427" w:rsidP="00D12F75">
      <w:pPr>
        <w:spacing w:line="360" w:lineRule="auto"/>
        <w:jc w:val="both"/>
        <w:rPr>
          <w:rFonts w:ascii="標楷體" w:eastAsia="標楷體" w:hAnsi="標楷體"/>
          <w:b/>
          <w:noProof/>
          <w:color w:val="000000"/>
          <w:szCs w:val="22"/>
          <w:lang w:val="en-GB"/>
        </w:rPr>
      </w:pPr>
    </w:p>
    <w:p w:rsidR="00D500D6" w:rsidRPr="00D500D6" w:rsidRDefault="00D500D6" w:rsidP="00D12F75">
      <w:pPr>
        <w:spacing w:line="360" w:lineRule="auto"/>
        <w:jc w:val="both"/>
        <w:rPr>
          <w:rFonts w:ascii="標楷體" w:eastAsia="標楷體" w:hAnsi="標楷體"/>
          <w:b/>
          <w:noProof/>
          <w:color w:val="000000"/>
          <w:szCs w:val="22"/>
          <w:lang w:val="en-GB"/>
        </w:rPr>
      </w:pPr>
      <w:bookmarkStart w:id="0" w:name="_GoBack"/>
      <w:bookmarkEnd w:id="0"/>
      <w:r w:rsidRPr="00D500D6">
        <w:rPr>
          <w:rFonts w:ascii="標楷體" w:eastAsia="標楷體" w:hAnsi="標楷體" w:hint="eastAsia"/>
          <w:b/>
          <w:noProof/>
          <w:color w:val="000000"/>
          <w:szCs w:val="22"/>
          <w:lang w:val="en-GB"/>
        </w:rPr>
        <w:t>預期貢獻:</w:t>
      </w:r>
    </w:p>
    <w:p w:rsidR="00F552D7" w:rsidRPr="00D500D6" w:rsidRDefault="00D500D6" w:rsidP="00D12F75">
      <w:pPr>
        <w:spacing w:line="360" w:lineRule="auto"/>
        <w:jc w:val="both"/>
        <w:rPr>
          <w:rFonts w:ascii="標楷體" w:eastAsia="標楷體" w:hAnsi="標楷體" w:hint="eastAsia"/>
        </w:rPr>
      </w:pPr>
      <w:r w:rsidRPr="00D500D6">
        <w:rPr>
          <w:rFonts w:ascii="標楷體" w:eastAsia="標楷體" w:hAnsi="標楷體" w:hint="eastAsia"/>
        </w:rPr>
        <w:t>本研究</w:t>
      </w:r>
      <w:r w:rsidR="005F4B5A">
        <w:rPr>
          <w:rFonts w:ascii="標楷體" w:eastAsia="標楷體" w:hAnsi="標楷體" w:hint="eastAsia"/>
        </w:rPr>
        <w:t>將闡明</w:t>
      </w:r>
      <w:r w:rsidR="005F4B5A">
        <w:rPr>
          <w:rFonts w:ascii="標楷體" w:eastAsia="標楷體" w:hAnsi="標楷體" w:hint="eastAsia"/>
        </w:rPr>
        <w:t>慢性B型肝炎</w:t>
      </w:r>
      <w:r w:rsidR="005F4B5A">
        <w:rPr>
          <w:rFonts w:ascii="標楷體" w:eastAsia="標楷體" w:hAnsi="標楷體" w:hint="eastAsia"/>
        </w:rPr>
        <w:t>E抗原陰性</w:t>
      </w:r>
      <w:r w:rsidR="0096151E">
        <w:rPr>
          <w:rFonts w:ascii="標楷體" w:eastAsia="標楷體" w:hAnsi="標楷體" w:hint="eastAsia"/>
        </w:rPr>
        <w:t>患者停止抗病毒治療後</w:t>
      </w:r>
      <w:r w:rsidR="005F4B5A">
        <w:rPr>
          <w:rFonts w:ascii="標楷體" w:eastAsia="標楷體" w:hAnsi="標楷體" w:hint="eastAsia"/>
        </w:rPr>
        <w:t>，若病毒再度大量複製，所可能發生的臨床後果</w:t>
      </w:r>
      <w:r w:rsidRPr="00D500D6">
        <w:rPr>
          <w:rFonts w:ascii="標楷體" w:eastAsia="標楷體" w:hAnsi="標楷體" w:hint="eastAsia"/>
        </w:rPr>
        <w:t>，</w:t>
      </w:r>
      <w:r w:rsidR="0096151E">
        <w:rPr>
          <w:rFonts w:ascii="標楷體" w:eastAsia="標楷體" w:hAnsi="標楷體" w:hint="eastAsia"/>
        </w:rPr>
        <w:t>以</w:t>
      </w:r>
      <w:r w:rsidR="005F4B5A">
        <w:rPr>
          <w:rFonts w:ascii="標楷體" w:eastAsia="標楷體" w:hAnsi="標楷體" w:hint="eastAsia"/>
        </w:rPr>
        <w:t>瞭解病毒學復發是否須立即再治療，</w:t>
      </w:r>
      <w:r w:rsidRPr="00D500D6">
        <w:rPr>
          <w:rFonts w:ascii="標楷體" w:eastAsia="標楷體" w:hAnsi="標楷體" w:hint="eastAsia"/>
        </w:rPr>
        <w:t>若能</w:t>
      </w:r>
      <w:r w:rsidR="000B1A12">
        <w:rPr>
          <w:rFonts w:ascii="標楷體" w:eastAsia="標楷體" w:hAnsi="標楷體" w:hint="eastAsia"/>
        </w:rPr>
        <w:t>達成此目標，</w:t>
      </w:r>
      <w:r w:rsidR="005F4B5A">
        <w:rPr>
          <w:rFonts w:ascii="標楷體" w:eastAsia="標楷體" w:hAnsi="標楷體" w:hint="eastAsia"/>
        </w:rPr>
        <w:t>將可解決現今對B肝患者停藥後處置上的爭議</w:t>
      </w:r>
      <w:r w:rsidR="002367E3">
        <w:rPr>
          <w:rFonts w:ascii="標楷體" w:eastAsia="標楷體" w:hAnsi="標楷體" w:hint="eastAsia"/>
        </w:rPr>
        <w:t>。本研究不預期對參與的個別患者有直接</w:t>
      </w:r>
      <w:r w:rsidRPr="00D500D6">
        <w:rPr>
          <w:rFonts w:ascii="標楷體" w:eastAsia="標楷體" w:hAnsi="標楷體" w:hint="eastAsia"/>
        </w:rPr>
        <w:t>效益。</w:t>
      </w:r>
    </w:p>
    <w:sectPr w:rsidR="00F552D7" w:rsidRPr="00D50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0A" w:rsidRDefault="0082430A" w:rsidP="002678C0">
      <w:r>
        <w:separator/>
      </w:r>
    </w:p>
  </w:endnote>
  <w:endnote w:type="continuationSeparator" w:id="0">
    <w:p w:rsidR="0082430A" w:rsidRDefault="0082430A" w:rsidP="0026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0A" w:rsidRDefault="0082430A" w:rsidP="002678C0">
      <w:r>
        <w:separator/>
      </w:r>
    </w:p>
  </w:footnote>
  <w:footnote w:type="continuationSeparator" w:id="0">
    <w:p w:rsidR="0082430A" w:rsidRDefault="0082430A" w:rsidP="0026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90FDC"/>
    <w:multiLevelType w:val="hybridMultilevel"/>
    <w:tmpl w:val="EF7625DE"/>
    <w:lvl w:ilvl="0" w:tplc="A08CA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8C0"/>
    <w:rsid w:val="00057630"/>
    <w:rsid w:val="000B1A12"/>
    <w:rsid w:val="001B6C88"/>
    <w:rsid w:val="001C352E"/>
    <w:rsid w:val="00217B41"/>
    <w:rsid w:val="002367E3"/>
    <w:rsid w:val="00261B60"/>
    <w:rsid w:val="0026489A"/>
    <w:rsid w:val="002678C0"/>
    <w:rsid w:val="002967FB"/>
    <w:rsid w:val="002F0096"/>
    <w:rsid w:val="003142F5"/>
    <w:rsid w:val="00361966"/>
    <w:rsid w:val="00387823"/>
    <w:rsid w:val="003A19EC"/>
    <w:rsid w:val="003B12A7"/>
    <w:rsid w:val="003E4CFA"/>
    <w:rsid w:val="00413F6C"/>
    <w:rsid w:val="004E2477"/>
    <w:rsid w:val="0051680D"/>
    <w:rsid w:val="00526E1C"/>
    <w:rsid w:val="0055566E"/>
    <w:rsid w:val="005820CC"/>
    <w:rsid w:val="00587B80"/>
    <w:rsid w:val="005F4B5A"/>
    <w:rsid w:val="0067476F"/>
    <w:rsid w:val="006848D2"/>
    <w:rsid w:val="006F121D"/>
    <w:rsid w:val="00704427"/>
    <w:rsid w:val="00721751"/>
    <w:rsid w:val="007352D5"/>
    <w:rsid w:val="00783C3D"/>
    <w:rsid w:val="007A0FC9"/>
    <w:rsid w:val="007F3089"/>
    <w:rsid w:val="0082430A"/>
    <w:rsid w:val="00826ADC"/>
    <w:rsid w:val="008467F9"/>
    <w:rsid w:val="008E26F0"/>
    <w:rsid w:val="008E62B2"/>
    <w:rsid w:val="0096151E"/>
    <w:rsid w:val="009A4899"/>
    <w:rsid w:val="009A7637"/>
    <w:rsid w:val="009F5AF7"/>
    <w:rsid w:val="00A51206"/>
    <w:rsid w:val="00A64745"/>
    <w:rsid w:val="00A8741B"/>
    <w:rsid w:val="00B02586"/>
    <w:rsid w:val="00B07BAC"/>
    <w:rsid w:val="00B33CC1"/>
    <w:rsid w:val="00C26638"/>
    <w:rsid w:val="00C73079"/>
    <w:rsid w:val="00C74FC2"/>
    <w:rsid w:val="00CC1F92"/>
    <w:rsid w:val="00CD1D6A"/>
    <w:rsid w:val="00CF6FC0"/>
    <w:rsid w:val="00D06252"/>
    <w:rsid w:val="00D12F75"/>
    <w:rsid w:val="00D500D6"/>
    <w:rsid w:val="00D70640"/>
    <w:rsid w:val="00D845D0"/>
    <w:rsid w:val="00E50D32"/>
    <w:rsid w:val="00E63292"/>
    <w:rsid w:val="00EB2EB3"/>
    <w:rsid w:val="00F13BFF"/>
    <w:rsid w:val="00F552D7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60065B-FF2D-43DD-A77A-846953A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2678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678C0"/>
    <w:rPr>
      <w:kern w:val="2"/>
    </w:rPr>
  </w:style>
  <w:style w:type="paragraph" w:styleId="a6">
    <w:name w:val="footer"/>
    <w:basedOn w:val="a"/>
    <w:link w:val="a7"/>
    <w:uiPriority w:val="99"/>
    <w:unhideWhenUsed/>
    <w:rsid w:val="002678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678C0"/>
    <w:rPr>
      <w:kern w:val="2"/>
    </w:rPr>
  </w:style>
  <w:style w:type="paragraph" w:customStyle="1" w:styleId="EndNoteBibliography">
    <w:name w:val="EndNote Bibliography"/>
    <w:basedOn w:val="a"/>
    <w:link w:val="EndNoteBibliography0"/>
    <w:rsid w:val="00704427"/>
    <w:rPr>
      <w:rFonts w:ascii="Calibri" w:hAnsi="Calibri" w:cs="Calibri"/>
      <w:noProof/>
      <w:szCs w:val="22"/>
    </w:rPr>
  </w:style>
  <w:style w:type="character" w:customStyle="1" w:styleId="EndNoteBibliography0">
    <w:name w:val="EndNote Bibliography 字元"/>
    <w:link w:val="EndNoteBibliography"/>
    <w:rsid w:val="00704427"/>
    <w:rPr>
      <w:rFonts w:ascii="Calibri" w:hAnsi="Calibri" w:cs="Calibri"/>
      <w:noProof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1490</Words>
  <Characters>8493</Characters>
  <Application>Microsoft Office Word</Application>
  <DocSecurity>0</DocSecurity>
  <Lines>70</Lines>
  <Paragraphs>19</Paragraphs>
  <ScaleCrop>false</ScaleCrop>
  <Company>CMT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研究計畫中英文摘要</dc:title>
  <dc:subject/>
  <dc:creator>user</dc:creator>
  <cp:keywords/>
  <cp:lastModifiedBy>Holden Hsu</cp:lastModifiedBy>
  <cp:revision>8</cp:revision>
  <dcterms:created xsi:type="dcterms:W3CDTF">2016-02-28T10:21:00Z</dcterms:created>
  <dcterms:modified xsi:type="dcterms:W3CDTF">2016-02-28T12:39:00Z</dcterms:modified>
</cp:coreProperties>
</file>