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D7" w:rsidRDefault="00F552D7">
      <w:pPr>
        <w:spacing w:line="520" w:lineRule="exact"/>
        <w:jc w:val="center"/>
        <w:rPr>
          <w:rFonts w:eastAsia="標楷體"/>
          <w:b/>
          <w:spacing w:val="34"/>
          <w:sz w:val="38"/>
        </w:rPr>
      </w:pPr>
      <w:r>
        <w:rPr>
          <w:rFonts w:eastAsia="標楷體" w:hint="eastAsia"/>
          <w:b/>
          <w:spacing w:val="34"/>
          <w:sz w:val="38"/>
        </w:rPr>
        <w:t>財團法人明日醫學基金會研究計畫申請書</w:t>
      </w:r>
    </w:p>
    <w:p w:rsidR="00F552D7" w:rsidRDefault="00F552D7">
      <w:pPr>
        <w:spacing w:line="400" w:lineRule="exact"/>
        <w:jc w:val="center"/>
        <w:rPr>
          <w:rFonts w:eastAsia="標楷體"/>
          <w:b/>
          <w:spacing w:val="34"/>
          <w:sz w:val="26"/>
        </w:rPr>
      </w:pPr>
    </w:p>
    <w:tbl>
      <w:tblPr>
        <w:tblW w:w="95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14"/>
        <w:gridCol w:w="3969"/>
        <w:gridCol w:w="3743"/>
      </w:tblGrid>
      <w:tr w:rsidR="00F552D7" w:rsidTr="00B07BAC">
        <w:trPr>
          <w:cantSplit/>
        </w:trPr>
        <w:tc>
          <w:tcPr>
            <w:tcW w:w="1814" w:type="dxa"/>
            <w:vMerge w:val="restart"/>
          </w:tcPr>
          <w:p w:rsidR="00F552D7" w:rsidRDefault="00F552D7">
            <w:pPr>
              <w:spacing w:line="360" w:lineRule="exact"/>
              <w:ind w:firstLine="119"/>
              <w:jc w:val="both"/>
              <w:rPr>
                <w:rFonts w:eastAsia="標楷體"/>
                <w:sz w:val="26"/>
              </w:rPr>
            </w:pPr>
          </w:p>
          <w:p w:rsidR="00F552D7" w:rsidRDefault="00F552D7">
            <w:pPr>
              <w:spacing w:line="360" w:lineRule="exact"/>
              <w:ind w:firstLine="119"/>
              <w:jc w:val="both"/>
              <w:rPr>
                <w:rFonts w:eastAsia="標楷體"/>
                <w:sz w:val="26"/>
              </w:rPr>
            </w:pPr>
            <w:r>
              <w:rPr>
                <w:rFonts w:eastAsia="標楷體" w:hint="eastAsia"/>
                <w:sz w:val="26"/>
              </w:rPr>
              <w:t>計畫名稱</w:t>
            </w:r>
          </w:p>
        </w:tc>
        <w:tc>
          <w:tcPr>
            <w:tcW w:w="7712" w:type="dxa"/>
            <w:gridSpan w:val="2"/>
          </w:tcPr>
          <w:p w:rsidR="00F552D7" w:rsidRPr="00D845D0" w:rsidRDefault="00F552D7" w:rsidP="008E4474">
            <w:pPr>
              <w:jc w:val="both"/>
              <w:rPr>
                <w:rFonts w:eastAsia="標楷體"/>
                <w:sz w:val="26"/>
              </w:rPr>
            </w:pPr>
            <w:r w:rsidRPr="00D845D0">
              <w:rPr>
                <w:rFonts w:eastAsia="標楷體" w:hAnsi="標楷體"/>
                <w:sz w:val="26"/>
              </w:rPr>
              <w:t>（中文）</w:t>
            </w:r>
            <w:r w:rsidR="008E4474">
              <w:rPr>
                <w:rFonts w:eastAsia="標楷體" w:hAnsi="標楷體" w:hint="eastAsia"/>
                <w:sz w:val="26"/>
              </w:rPr>
              <w:t>建立慢性</w:t>
            </w:r>
            <w:r w:rsidR="008E4474">
              <w:rPr>
                <w:rFonts w:eastAsia="標楷體" w:hAnsi="標楷體" w:hint="eastAsia"/>
                <w:sz w:val="26"/>
              </w:rPr>
              <w:t>B</w:t>
            </w:r>
            <w:r w:rsidR="008E4474">
              <w:rPr>
                <w:rFonts w:eastAsia="標楷體" w:hAnsi="標楷體" w:hint="eastAsia"/>
                <w:sz w:val="26"/>
              </w:rPr>
              <w:t>型肝炎患者停止</w:t>
            </w:r>
            <w:r w:rsidR="009C45A6" w:rsidRPr="009C45A6">
              <w:rPr>
                <w:rFonts w:eastAsia="標楷體" w:hAnsi="標楷體" w:hint="eastAsia"/>
                <w:sz w:val="26"/>
              </w:rPr>
              <w:t>類核苷</w:t>
            </w:r>
            <w:r w:rsidR="009C45A6" w:rsidRPr="009C45A6">
              <w:rPr>
                <w:rFonts w:eastAsia="標楷體" w:hAnsi="標楷體"/>
                <w:sz w:val="26"/>
              </w:rPr>
              <w:t>(</w:t>
            </w:r>
            <w:r w:rsidR="009C45A6" w:rsidRPr="009C45A6">
              <w:rPr>
                <w:rFonts w:eastAsia="標楷體" w:hAnsi="標楷體" w:hint="eastAsia"/>
                <w:sz w:val="26"/>
              </w:rPr>
              <w:t>酸</w:t>
            </w:r>
            <w:r w:rsidR="009C45A6" w:rsidRPr="009C45A6">
              <w:rPr>
                <w:rFonts w:eastAsia="標楷體" w:hAnsi="標楷體"/>
                <w:sz w:val="26"/>
              </w:rPr>
              <w:t>)</w:t>
            </w:r>
            <w:r w:rsidR="008E4474">
              <w:rPr>
                <w:rFonts w:eastAsia="標楷體" w:hAnsi="標楷體" w:hint="eastAsia"/>
                <w:sz w:val="26"/>
              </w:rPr>
              <w:t>治療的風險預測模型</w:t>
            </w:r>
          </w:p>
        </w:tc>
      </w:tr>
      <w:tr w:rsidR="00F552D7" w:rsidTr="00B07BAC">
        <w:trPr>
          <w:cantSplit/>
        </w:trPr>
        <w:tc>
          <w:tcPr>
            <w:tcW w:w="1814" w:type="dxa"/>
            <w:vMerge/>
          </w:tcPr>
          <w:p w:rsidR="00F552D7" w:rsidRDefault="00F552D7">
            <w:pPr>
              <w:spacing w:line="520" w:lineRule="exact"/>
              <w:ind w:firstLine="120"/>
              <w:jc w:val="both"/>
              <w:rPr>
                <w:rFonts w:eastAsia="標楷體"/>
                <w:sz w:val="26"/>
              </w:rPr>
            </w:pPr>
          </w:p>
        </w:tc>
        <w:tc>
          <w:tcPr>
            <w:tcW w:w="7712" w:type="dxa"/>
            <w:gridSpan w:val="2"/>
          </w:tcPr>
          <w:p w:rsidR="00F552D7" w:rsidRPr="00D845D0" w:rsidRDefault="00F552D7" w:rsidP="008E4474">
            <w:pPr>
              <w:tabs>
                <w:tab w:val="left" w:pos="226"/>
              </w:tabs>
              <w:spacing w:line="300" w:lineRule="exact"/>
              <w:ind w:left="169" w:right="127" w:hangingChars="65" w:hanging="169"/>
              <w:jc w:val="both"/>
              <w:rPr>
                <w:rFonts w:eastAsia="標楷體"/>
                <w:sz w:val="26"/>
              </w:rPr>
            </w:pPr>
            <w:r w:rsidRPr="00D845D0">
              <w:rPr>
                <w:rFonts w:eastAsia="標楷體" w:hAnsi="標楷體"/>
                <w:sz w:val="26"/>
              </w:rPr>
              <w:t>（英文）</w:t>
            </w:r>
            <w:r w:rsidR="008E4474">
              <w:rPr>
                <w:rFonts w:eastAsia="標楷體" w:hint="eastAsia"/>
              </w:rPr>
              <w:t xml:space="preserve">Development of risk </w:t>
            </w:r>
            <w:r w:rsidR="008E4474">
              <w:rPr>
                <w:rFonts w:eastAsia="標楷體"/>
              </w:rPr>
              <w:t>prediction</w:t>
            </w:r>
            <w:r w:rsidR="008E4474">
              <w:rPr>
                <w:rFonts w:eastAsia="標楷體" w:hint="eastAsia"/>
              </w:rPr>
              <w:t xml:space="preserve"> </w:t>
            </w:r>
            <w:r w:rsidR="008E4474">
              <w:rPr>
                <w:rFonts w:eastAsia="標楷體"/>
              </w:rPr>
              <w:t xml:space="preserve">model for </w:t>
            </w:r>
            <w:r w:rsidR="009C45A6" w:rsidRPr="009C45A6">
              <w:rPr>
                <w:rFonts w:eastAsia="標楷體"/>
              </w:rPr>
              <w:t>cessation of nucleos(t)ide analogues</w:t>
            </w:r>
            <w:r w:rsidR="0026489A">
              <w:rPr>
                <w:rFonts w:eastAsia="標楷體"/>
              </w:rPr>
              <w:t xml:space="preserve"> </w:t>
            </w:r>
            <w:r w:rsidR="008E4474">
              <w:rPr>
                <w:rFonts w:eastAsia="標楷體"/>
              </w:rPr>
              <w:t xml:space="preserve">in patients with chronic </w:t>
            </w:r>
            <w:r w:rsidR="008E4474" w:rsidRPr="008E4474">
              <w:rPr>
                <w:rFonts w:eastAsia="標楷體"/>
              </w:rPr>
              <w:t>hepatitis B</w:t>
            </w:r>
          </w:p>
        </w:tc>
      </w:tr>
      <w:tr w:rsidR="00F552D7" w:rsidTr="00B07BAC">
        <w:tc>
          <w:tcPr>
            <w:tcW w:w="1814" w:type="dxa"/>
          </w:tcPr>
          <w:p w:rsidR="00F552D7" w:rsidRDefault="00F552D7">
            <w:pPr>
              <w:spacing w:line="600" w:lineRule="exact"/>
              <w:ind w:firstLine="120"/>
              <w:jc w:val="both"/>
              <w:rPr>
                <w:rFonts w:eastAsia="標楷體"/>
                <w:sz w:val="26"/>
              </w:rPr>
            </w:pPr>
            <w:r>
              <w:rPr>
                <w:rFonts w:eastAsia="標楷體" w:hint="eastAsia"/>
                <w:sz w:val="26"/>
              </w:rPr>
              <w:t>計畫類別</w:t>
            </w:r>
          </w:p>
        </w:tc>
        <w:tc>
          <w:tcPr>
            <w:tcW w:w="3969" w:type="dxa"/>
          </w:tcPr>
          <w:p w:rsidR="00F552D7" w:rsidRDefault="00F552D7">
            <w:pPr>
              <w:spacing w:line="600" w:lineRule="exact"/>
              <w:jc w:val="both"/>
              <w:rPr>
                <w:rFonts w:eastAsia="標楷體"/>
                <w:sz w:val="26"/>
              </w:rPr>
            </w:pPr>
            <w:r>
              <w:rPr>
                <w:rFonts w:eastAsia="標楷體" w:hint="eastAsia"/>
                <w:sz w:val="26"/>
              </w:rPr>
              <w:sym w:font="Wingdings" w:char="F0FE"/>
            </w:r>
            <w:r>
              <w:rPr>
                <w:rFonts w:eastAsia="標楷體" w:hint="eastAsia"/>
                <w:sz w:val="26"/>
              </w:rPr>
              <w:t>個別型</w:t>
            </w:r>
          </w:p>
        </w:tc>
        <w:tc>
          <w:tcPr>
            <w:tcW w:w="3743" w:type="dxa"/>
          </w:tcPr>
          <w:p w:rsidR="00F552D7" w:rsidRDefault="00F552D7">
            <w:pPr>
              <w:spacing w:line="600" w:lineRule="exact"/>
              <w:ind w:right="-1566"/>
              <w:jc w:val="both"/>
              <w:rPr>
                <w:rFonts w:eastAsia="標楷體"/>
                <w:sz w:val="26"/>
              </w:rPr>
            </w:pPr>
            <w:r>
              <w:rPr>
                <w:rFonts w:eastAsia="標楷體" w:hint="eastAsia"/>
                <w:sz w:val="26"/>
              </w:rPr>
              <w:sym w:font="Wingdings" w:char="F0A8"/>
            </w:r>
            <w:r>
              <w:rPr>
                <w:rFonts w:eastAsia="標楷體" w:hint="eastAsia"/>
                <w:sz w:val="26"/>
              </w:rPr>
              <w:t>整合型</w:t>
            </w:r>
          </w:p>
        </w:tc>
      </w:tr>
      <w:tr w:rsidR="00F552D7" w:rsidTr="00B07BAC">
        <w:trPr>
          <w:cantSplit/>
        </w:trPr>
        <w:tc>
          <w:tcPr>
            <w:tcW w:w="1814" w:type="dxa"/>
          </w:tcPr>
          <w:p w:rsidR="00F552D7" w:rsidRDefault="00F552D7">
            <w:pPr>
              <w:spacing w:line="600" w:lineRule="exact"/>
              <w:ind w:firstLine="120"/>
              <w:jc w:val="both"/>
              <w:rPr>
                <w:rFonts w:eastAsia="標楷體"/>
                <w:sz w:val="26"/>
              </w:rPr>
            </w:pPr>
            <w:r>
              <w:rPr>
                <w:rFonts w:eastAsia="標楷體" w:hint="eastAsia"/>
                <w:sz w:val="26"/>
              </w:rPr>
              <w:t>計畫歸屬</w:t>
            </w:r>
          </w:p>
        </w:tc>
        <w:tc>
          <w:tcPr>
            <w:tcW w:w="7712" w:type="dxa"/>
            <w:gridSpan w:val="2"/>
          </w:tcPr>
          <w:p w:rsidR="00F552D7" w:rsidRDefault="00B07BAC">
            <w:pPr>
              <w:spacing w:line="600" w:lineRule="exact"/>
              <w:jc w:val="both"/>
              <w:rPr>
                <w:rFonts w:eastAsia="標楷體"/>
                <w:spacing w:val="-2"/>
                <w:sz w:val="26"/>
              </w:rPr>
            </w:pPr>
            <w:r w:rsidRPr="00B07BAC">
              <w:rPr>
                <w:rFonts w:eastAsia="標楷體" w:hint="eastAsia"/>
                <w:spacing w:val="-2"/>
                <w:sz w:val="26"/>
              </w:rPr>
              <w:sym w:font="Wingdings" w:char="F0A8"/>
            </w:r>
            <w:r w:rsidR="00F552D7">
              <w:rPr>
                <w:rFonts w:eastAsia="標楷體" w:hint="eastAsia"/>
                <w:spacing w:val="-2"/>
                <w:sz w:val="26"/>
              </w:rPr>
              <w:t>基礎醫學</w:t>
            </w:r>
            <w:r w:rsidR="00F552D7">
              <w:rPr>
                <w:rFonts w:eastAsia="標楷體" w:hint="eastAsia"/>
                <w:spacing w:val="-2"/>
                <w:sz w:val="26"/>
              </w:rPr>
              <w:sym w:font="Wingdings" w:char="F0A8"/>
            </w:r>
            <w:r w:rsidR="00F552D7">
              <w:rPr>
                <w:rFonts w:eastAsia="標楷體" w:hint="eastAsia"/>
                <w:spacing w:val="-2"/>
                <w:sz w:val="26"/>
              </w:rPr>
              <w:t>生物醫學</w:t>
            </w:r>
            <w:r w:rsidRPr="00B07BAC">
              <w:rPr>
                <w:rFonts w:eastAsia="標楷體" w:hint="eastAsia"/>
                <w:spacing w:val="-2"/>
                <w:sz w:val="26"/>
              </w:rPr>
              <w:sym w:font="Wingdings" w:char="F0FE"/>
            </w:r>
            <w:r w:rsidR="00F552D7">
              <w:rPr>
                <w:rFonts w:eastAsia="標楷體" w:hint="eastAsia"/>
                <w:spacing w:val="-2"/>
                <w:sz w:val="26"/>
              </w:rPr>
              <w:t>臨床醫學</w:t>
            </w:r>
            <w:r w:rsidR="00F552D7">
              <w:rPr>
                <w:rFonts w:eastAsia="標楷體" w:hint="eastAsia"/>
                <w:spacing w:val="-2"/>
                <w:sz w:val="26"/>
              </w:rPr>
              <w:sym w:font="Wingdings" w:char="F0A8"/>
            </w:r>
            <w:r w:rsidR="00F552D7">
              <w:rPr>
                <w:rFonts w:eastAsia="標楷體" w:hint="eastAsia"/>
                <w:spacing w:val="-2"/>
                <w:sz w:val="26"/>
              </w:rPr>
              <w:t>資訊系統</w:t>
            </w:r>
            <w:r w:rsidR="00F552D7">
              <w:rPr>
                <w:rFonts w:eastAsia="標楷體" w:hint="eastAsia"/>
                <w:spacing w:val="-2"/>
                <w:sz w:val="26"/>
              </w:rPr>
              <w:sym w:font="Wingdings" w:char="F0A8"/>
            </w:r>
            <w:r w:rsidR="00F552D7">
              <w:rPr>
                <w:rFonts w:eastAsia="標楷體" w:hint="eastAsia"/>
                <w:spacing w:val="-2"/>
                <w:sz w:val="26"/>
              </w:rPr>
              <w:t>醫院管理</w:t>
            </w:r>
            <w:r w:rsidR="00F552D7">
              <w:rPr>
                <w:rFonts w:eastAsia="標楷體" w:hint="eastAsia"/>
                <w:spacing w:val="-2"/>
                <w:sz w:val="26"/>
              </w:rPr>
              <w:sym w:font="Wingdings" w:char="F0A8"/>
            </w:r>
            <w:r w:rsidR="00F552D7">
              <w:rPr>
                <w:rFonts w:eastAsia="標楷體" w:hint="eastAsia"/>
                <w:spacing w:val="-2"/>
                <w:sz w:val="26"/>
              </w:rPr>
              <w:t>整合性醫學研究</w:t>
            </w:r>
          </w:p>
        </w:tc>
      </w:tr>
      <w:tr w:rsidR="00F552D7" w:rsidTr="00B07BAC">
        <w:trPr>
          <w:cantSplit/>
        </w:trPr>
        <w:tc>
          <w:tcPr>
            <w:tcW w:w="1814" w:type="dxa"/>
            <w:vMerge w:val="restart"/>
          </w:tcPr>
          <w:p w:rsidR="00F552D7" w:rsidRDefault="00F552D7">
            <w:pPr>
              <w:spacing w:line="600" w:lineRule="exact"/>
              <w:ind w:firstLine="120"/>
              <w:jc w:val="both"/>
              <w:rPr>
                <w:rFonts w:eastAsia="標楷體"/>
                <w:sz w:val="26"/>
              </w:rPr>
            </w:pPr>
            <w:r>
              <w:rPr>
                <w:rFonts w:eastAsia="標楷體" w:hint="eastAsia"/>
                <w:sz w:val="26"/>
              </w:rPr>
              <w:t>計畫主持人</w:t>
            </w:r>
          </w:p>
        </w:tc>
        <w:tc>
          <w:tcPr>
            <w:tcW w:w="3969" w:type="dxa"/>
          </w:tcPr>
          <w:p w:rsidR="00F552D7" w:rsidRDefault="00F552D7">
            <w:pPr>
              <w:spacing w:beforeLines="50" w:before="180" w:afterLines="30" w:after="108" w:line="300" w:lineRule="exact"/>
              <w:rPr>
                <w:rFonts w:eastAsia="標楷體"/>
                <w:color w:val="000000"/>
                <w:sz w:val="32"/>
              </w:rPr>
            </w:pPr>
            <w:r>
              <w:rPr>
                <w:rFonts w:eastAsia="標楷體" w:hint="eastAsia"/>
                <w:sz w:val="26"/>
              </w:rPr>
              <w:t>姓名：</w:t>
            </w:r>
            <w:r>
              <w:rPr>
                <w:rFonts w:eastAsia="標楷體" w:hint="eastAsia"/>
                <w:color w:val="000000"/>
                <w:sz w:val="32"/>
              </w:rPr>
              <w:t>許耀峻</w:t>
            </w:r>
          </w:p>
          <w:p w:rsidR="00F552D7" w:rsidRDefault="00F552D7">
            <w:pPr>
              <w:spacing w:beforeLines="50" w:before="180" w:afterLines="30" w:after="108" w:line="300" w:lineRule="exact"/>
              <w:ind w:leftChars="-5" w:left="310" w:hangingChars="115" w:hanging="322"/>
              <w:rPr>
                <w:rFonts w:eastAsia="標楷體"/>
                <w:color w:val="000000"/>
                <w:sz w:val="28"/>
              </w:rPr>
            </w:pPr>
            <w:r>
              <w:rPr>
                <w:rFonts w:eastAsia="標楷體" w:hint="eastAsia"/>
                <w:color w:val="000000"/>
                <w:sz w:val="28"/>
              </w:rPr>
              <w:t>Yao-Chun Hsu</w:t>
            </w:r>
          </w:p>
          <w:p w:rsidR="00F552D7" w:rsidRDefault="00F552D7">
            <w:pPr>
              <w:spacing w:line="600" w:lineRule="exact"/>
              <w:jc w:val="both"/>
              <w:rPr>
                <w:rFonts w:eastAsia="標楷體"/>
                <w:sz w:val="26"/>
              </w:rPr>
            </w:pPr>
          </w:p>
        </w:tc>
        <w:tc>
          <w:tcPr>
            <w:tcW w:w="3743" w:type="dxa"/>
          </w:tcPr>
          <w:p w:rsidR="00F552D7" w:rsidRDefault="00F552D7">
            <w:pPr>
              <w:spacing w:line="600" w:lineRule="exact"/>
              <w:ind w:right="-1566"/>
              <w:jc w:val="both"/>
              <w:rPr>
                <w:rFonts w:eastAsia="標楷體"/>
                <w:sz w:val="26"/>
              </w:rPr>
            </w:pPr>
            <w:r>
              <w:rPr>
                <w:rFonts w:eastAsia="標楷體" w:hint="eastAsia"/>
                <w:sz w:val="26"/>
              </w:rPr>
              <w:t>機關：</w:t>
            </w:r>
            <w:r w:rsidR="00B07BAC">
              <w:rPr>
                <w:rFonts w:eastAsia="標楷體" w:hint="eastAsia"/>
                <w:b/>
                <w:sz w:val="28"/>
              </w:rPr>
              <w:t>義大醫院</w:t>
            </w:r>
          </w:p>
        </w:tc>
      </w:tr>
      <w:tr w:rsidR="00F552D7" w:rsidTr="00B07BAC">
        <w:trPr>
          <w:cantSplit/>
        </w:trPr>
        <w:tc>
          <w:tcPr>
            <w:tcW w:w="1814" w:type="dxa"/>
            <w:vMerge/>
          </w:tcPr>
          <w:p w:rsidR="00F552D7" w:rsidRDefault="00F552D7">
            <w:pPr>
              <w:spacing w:line="600" w:lineRule="exact"/>
              <w:ind w:firstLine="120"/>
              <w:jc w:val="both"/>
              <w:rPr>
                <w:rFonts w:eastAsia="標楷體"/>
                <w:sz w:val="26"/>
              </w:rPr>
            </w:pPr>
          </w:p>
        </w:tc>
        <w:tc>
          <w:tcPr>
            <w:tcW w:w="3969" w:type="dxa"/>
          </w:tcPr>
          <w:p w:rsidR="00F552D7" w:rsidRDefault="00F552D7">
            <w:pPr>
              <w:spacing w:line="600" w:lineRule="exact"/>
              <w:jc w:val="both"/>
              <w:rPr>
                <w:rFonts w:eastAsia="標楷體"/>
                <w:sz w:val="26"/>
              </w:rPr>
            </w:pPr>
            <w:r>
              <w:rPr>
                <w:rFonts w:eastAsia="標楷體" w:hint="eastAsia"/>
                <w:sz w:val="26"/>
              </w:rPr>
              <w:t>職稱：</w:t>
            </w:r>
            <w:r w:rsidR="00D845D0">
              <w:rPr>
                <w:rFonts w:eastAsia="標楷體" w:hint="eastAsia"/>
                <w:b/>
                <w:sz w:val="28"/>
              </w:rPr>
              <w:t>中心主任</w:t>
            </w:r>
          </w:p>
        </w:tc>
        <w:tc>
          <w:tcPr>
            <w:tcW w:w="3743" w:type="dxa"/>
          </w:tcPr>
          <w:p w:rsidR="00F552D7" w:rsidRDefault="00F552D7">
            <w:pPr>
              <w:spacing w:line="600" w:lineRule="exact"/>
              <w:ind w:right="-1566"/>
              <w:jc w:val="both"/>
              <w:rPr>
                <w:rFonts w:eastAsia="標楷體"/>
                <w:sz w:val="26"/>
              </w:rPr>
            </w:pPr>
            <w:r>
              <w:rPr>
                <w:rFonts w:eastAsia="標楷體" w:hint="eastAsia"/>
                <w:sz w:val="26"/>
              </w:rPr>
              <w:t>單位：</w:t>
            </w:r>
            <w:r w:rsidR="00D845D0">
              <w:rPr>
                <w:rFonts w:eastAsia="標楷體" w:hint="eastAsia"/>
                <w:b/>
                <w:sz w:val="28"/>
              </w:rPr>
              <w:t>資料庫研究中心</w:t>
            </w:r>
          </w:p>
        </w:tc>
      </w:tr>
      <w:tr w:rsidR="00F552D7" w:rsidTr="00B07BAC">
        <w:trPr>
          <w:cantSplit/>
        </w:trPr>
        <w:tc>
          <w:tcPr>
            <w:tcW w:w="1814" w:type="dxa"/>
          </w:tcPr>
          <w:p w:rsidR="00F552D7" w:rsidRDefault="00F552D7">
            <w:pPr>
              <w:spacing w:line="600" w:lineRule="exact"/>
              <w:ind w:firstLine="120"/>
              <w:jc w:val="both"/>
              <w:rPr>
                <w:rFonts w:eastAsia="標楷體"/>
                <w:sz w:val="26"/>
              </w:rPr>
            </w:pPr>
            <w:r>
              <w:rPr>
                <w:rFonts w:eastAsia="標楷體" w:hint="eastAsia"/>
                <w:sz w:val="26"/>
              </w:rPr>
              <w:t>通訊地址</w:t>
            </w:r>
          </w:p>
        </w:tc>
        <w:tc>
          <w:tcPr>
            <w:tcW w:w="7712" w:type="dxa"/>
            <w:gridSpan w:val="2"/>
          </w:tcPr>
          <w:p w:rsidR="00F552D7" w:rsidRDefault="00B07BAC">
            <w:pPr>
              <w:spacing w:line="600" w:lineRule="exact"/>
              <w:jc w:val="both"/>
              <w:rPr>
                <w:rFonts w:eastAsia="標楷體"/>
                <w:b/>
                <w:sz w:val="28"/>
              </w:rPr>
            </w:pPr>
            <w:r>
              <w:rPr>
                <w:rFonts w:eastAsia="標楷體" w:hint="eastAsia"/>
                <w:b/>
                <w:sz w:val="28"/>
              </w:rPr>
              <w:t>高雄市燕巢區義大路</w:t>
            </w:r>
            <w:r>
              <w:rPr>
                <w:rFonts w:eastAsia="標楷體" w:hint="eastAsia"/>
                <w:b/>
                <w:sz w:val="28"/>
              </w:rPr>
              <w:t>1</w:t>
            </w:r>
            <w:r>
              <w:rPr>
                <w:rFonts w:eastAsia="標楷體" w:hint="eastAsia"/>
                <w:b/>
                <w:sz w:val="28"/>
              </w:rPr>
              <w:t>號</w:t>
            </w:r>
          </w:p>
        </w:tc>
      </w:tr>
      <w:tr w:rsidR="00F552D7" w:rsidTr="00B07BAC">
        <w:trPr>
          <w:cantSplit/>
        </w:trPr>
        <w:tc>
          <w:tcPr>
            <w:tcW w:w="1814" w:type="dxa"/>
          </w:tcPr>
          <w:p w:rsidR="00F552D7" w:rsidRDefault="00F552D7">
            <w:pPr>
              <w:spacing w:line="600" w:lineRule="exact"/>
              <w:ind w:firstLine="120"/>
              <w:jc w:val="both"/>
              <w:rPr>
                <w:rFonts w:eastAsia="標楷體"/>
                <w:sz w:val="26"/>
              </w:rPr>
            </w:pPr>
            <w:r>
              <w:rPr>
                <w:rFonts w:eastAsia="標楷體" w:hint="eastAsia"/>
                <w:sz w:val="26"/>
              </w:rPr>
              <w:t>聯絡電話</w:t>
            </w:r>
          </w:p>
        </w:tc>
        <w:tc>
          <w:tcPr>
            <w:tcW w:w="7712" w:type="dxa"/>
            <w:gridSpan w:val="2"/>
          </w:tcPr>
          <w:p w:rsidR="00F552D7" w:rsidRDefault="00B07BAC">
            <w:pPr>
              <w:spacing w:line="600" w:lineRule="exact"/>
              <w:jc w:val="both"/>
              <w:rPr>
                <w:rFonts w:eastAsia="標楷體"/>
                <w:b/>
                <w:sz w:val="28"/>
              </w:rPr>
            </w:pPr>
            <w:r>
              <w:rPr>
                <w:rFonts w:eastAsia="標楷體" w:hint="eastAsia"/>
                <w:b/>
                <w:sz w:val="28"/>
              </w:rPr>
              <w:t>07-6155725, 0988687726</w:t>
            </w:r>
          </w:p>
        </w:tc>
      </w:tr>
      <w:tr w:rsidR="00F552D7" w:rsidTr="00B07BAC">
        <w:trPr>
          <w:cantSplit/>
        </w:trPr>
        <w:tc>
          <w:tcPr>
            <w:tcW w:w="1814" w:type="dxa"/>
          </w:tcPr>
          <w:p w:rsidR="00F552D7" w:rsidRDefault="00F552D7">
            <w:pPr>
              <w:spacing w:line="600" w:lineRule="exact"/>
              <w:ind w:firstLine="120"/>
              <w:jc w:val="both"/>
              <w:rPr>
                <w:rFonts w:eastAsia="標楷體"/>
                <w:sz w:val="26"/>
              </w:rPr>
            </w:pPr>
            <w:r>
              <w:rPr>
                <w:rFonts w:eastAsia="標楷體" w:hint="eastAsia"/>
                <w:sz w:val="26"/>
              </w:rPr>
              <w:t>計畫執行期限</w:t>
            </w:r>
          </w:p>
        </w:tc>
        <w:tc>
          <w:tcPr>
            <w:tcW w:w="7712" w:type="dxa"/>
            <w:gridSpan w:val="2"/>
          </w:tcPr>
          <w:p w:rsidR="00F552D7" w:rsidRDefault="00F552D7" w:rsidP="009C45A6">
            <w:pPr>
              <w:spacing w:line="600" w:lineRule="exact"/>
              <w:jc w:val="both"/>
              <w:rPr>
                <w:rFonts w:eastAsia="標楷體"/>
                <w:sz w:val="26"/>
              </w:rPr>
            </w:pPr>
            <w:r>
              <w:rPr>
                <w:rFonts w:eastAsia="標楷體" w:hint="eastAsia"/>
                <w:sz w:val="26"/>
              </w:rPr>
              <w:t>自</w:t>
            </w:r>
            <w:r>
              <w:rPr>
                <w:rFonts w:eastAsia="標楷體" w:hint="eastAsia"/>
                <w:sz w:val="28"/>
              </w:rPr>
              <w:t xml:space="preserve"> </w:t>
            </w:r>
            <w:r w:rsidR="00B07BAC">
              <w:rPr>
                <w:rFonts w:eastAsia="標楷體" w:hint="eastAsia"/>
                <w:b/>
                <w:sz w:val="28"/>
              </w:rPr>
              <w:t>10</w:t>
            </w:r>
            <w:r w:rsidR="009C45A6">
              <w:rPr>
                <w:rFonts w:eastAsia="標楷體"/>
                <w:b/>
                <w:sz w:val="28"/>
              </w:rPr>
              <w:t>6</w:t>
            </w:r>
            <w:r>
              <w:rPr>
                <w:rFonts w:eastAsia="標楷體" w:hint="eastAsia"/>
                <w:sz w:val="28"/>
              </w:rPr>
              <w:t xml:space="preserve">  </w:t>
            </w:r>
            <w:r>
              <w:rPr>
                <w:rFonts w:eastAsia="標楷體" w:hint="eastAsia"/>
                <w:sz w:val="26"/>
              </w:rPr>
              <w:t>年</w:t>
            </w:r>
            <w:r>
              <w:rPr>
                <w:rFonts w:eastAsia="標楷體" w:hint="eastAsia"/>
                <w:sz w:val="26"/>
              </w:rPr>
              <w:t xml:space="preserve"> </w:t>
            </w:r>
            <w:r w:rsidR="00B07BAC">
              <w:rPr>
                <w:rFonts w:eastAsia="標楷體" w:hint="eastAsia"/>
                <w:sz w:val="28"/>
              </w:rPr>
              <w:t xml:space="preserve"> 1</w:t>
            </w:r>
            <w:r>
              <w:rPr>
                <w:rFonts w:eastAsia="標楷體" w:hint="eastAsia"/>
                <w:sz w:val="28"/>
              </w:rPr>
              <w:t xml:space="preserve">  </w:t>
            </w:r>
            <w:r>
              <w:rPr>
                <w:rFonts w:eastAsia="標楷體" w:hint="eastAsia"/>
                <w:sz w:val="26"/>
              </w:rPr>
              <w:t>月</w:t>
            </w:r>
            <w:r w:rsidR="00B07BAC">
              <w:rPr>
                <w:rFonts w:eastAsia="標楷體" w:hint="eastAsia"/>
                <w:sz w:val="28"/>
              </w:rPr>
              <w:t xml:space="preserve"> </w:t>
            </w:r>
            <w:r>
              <w:rPr>
                <w:rFonts w:eastAsia="標楷體" w:hint="eastAsia"/>
                <w:b/>
                <w:sz w:val="28"/>
              </w:rPr>
              <w:t>1</w:t>
            </w:r>
            <w:r>
              <w:rPr>
                <w:rFonts w:eastAsia="標楷體" w:hint="eastAsia"/>
                <w:sz w:val="28"/>
              </w:rPr>
              <w:t xml:space="preserve">  </w:t>
            </w:r>
            <w:r>
              <w:rPr>
                <w:rFonts w:eastAsia="標楷體" w:hint="eastAsia"/>
                <w:sz w:val="26"/>
              </w:rPr>
              <w:t>日起至</w:t>
            </w:r>
            <w:r>
              <w:rPr>
                <w:rFonts w:eastAsia="標楷體" w:hint="eastAsia"/>
                <w:sz w:val="28"/>
              </w:rPr>
              <w:t xml:space="preserve">  </w:t>
            </w:r>
            <w:r w:rsidR="00B07BAC">
              <w:rPr>
                <w:rFonts w:eastAsia="標楷體" w:hint="eastAsia"/>
                <w:b/>
                <w:sz w:val="28"/>
              </w:rPr>
              <w:t>10</w:t>
            </w:r>
            <w:r w:rsidR="009C45A6">
              <w:rPr>
                <w:rFonts w:eastAsia="標楷體"/>
                <w:b/>
                <w:sz w:val="28"/>
              </w:rPr>
              <w:t>6</w:t>
            </w:r>
            <w:r>
              <w:rPr>
                <w:rFonts w:eastAsia="標楷體" w:hint="eastAsia"/>
                <w:sz w:val="28"/>
              </w:rPr>
              <w:t xml:space="preserve"> </w:t>
            </w:r>
            <w:r>
              <w:rPr>
                <w:rFonts w:eastAsia="標楷體" w:hint="eastAsia"/>
                <w:sz w:val="26"/>
              </w:rPr>
              <w:t>年</w:t>
            </w:r>
            <w:r>
              <w:rPr>
                <w:rFonts w:eastAsia="標楷體" w:hint="eastAsia"/>
                <w:sz w:val="28"/>
              </w:rPr>
              <w:t xml:space="preserve">  </w:t>
            </w:r>
            <w:r>
              <w:rPr>
                <w:rFonts w:eastAsia="標楷體" w:hint="eastAsia"/>
                <w:b/>
                <w:sz w:val="28"/>
              </w:rPr>
              <w:t>12</w:t>
            </w:r>
            <w:r>
              <w:rPr>
                <w:rFonts w:eastAsia="標楷體" w:hint="eastAsia"/>
                <w:sz w:val="28"/>
              </w:rPr>
              <w:t xml:space="preserve">  </w:t>
            </w:r>
            <w:r>
              <w:rPr>
                <w:rFonts w:eastAsia="標楷體" w:hint="eastAsia"/>
                <w:sz w:val="26"/>
              </w:rPr>
              <w:t>月</w:t>
            </w:r>
            <w:r>
              <w:rPr>
                <w:rFonts w:eastAsia="標楷體" w:hint="eastAsia"/>
                <w:sz w:val="28"/>
              </w:rPr>
              <w:t xml:space="preserve">  </w:t>
            </w:r>
            <w:r>
              <w:rPr>
                <w:rFonts w:eastAsia="標楷體" w:hint="eastAsia"/>
                <w:b/>
                <w:sz w:val="28"/>
              </w:rPr>
              <w:t>31</w:t>
            </w:r>
            <w:r>
              <w:rPr>
                <w:rFonts w:eastAsia="標楷體" w:hint="eastAsia"/>
                <w:sz w:val="28"/>
              </w:rPr>
              <w:t xml:space="preserve">  </w:t>
            </w:r>
            <w:r>
              <w:rPr>
                <w:rFonts w:eastAsia="標楷體" w:hint="eastAsia"/>
                <w:sz w:val="26"/>
              </w:rPr>
              <w:t>日止</w:t>
            </w:r>
          </w:p>
        </w:tc>
      </w:tr>
      <w:tr w:rsidR="00F552D7" w:rsidTr="00B07BAC">
        <w:trPr>
          <w:cantSplit/>
        </w:trPr>
        <w:tc>
          <w:tcPr>
            <w:tcW w:w="1814" w:type="dxa"/>
            <w:vMerge w:val="restart"/>
          </w:tcPr>
          <w:p w:rsidR="00F552D7" w:rsidRDefault="00F552D7">
            <w:pPr>
              <w:spacing w:line="600" w:lineRule="exact"/>
              <w:ind w:firstLine="120"/>
              <w:jc w:val="both"/>
              <w:rPr>
                <w:rFonts w:eastAsia="標楷體"/>
                <w:sz w:val="26"/>
              </w:rPr>
            </w:pPr>
            <w:r>
              <w:rPr>
                <w:rFonts w:eastAsia="標楷體" w:hint="eastAsia"/>
                <w:sz w:val="26"/>
              </w:rPr>
              <w:t>共同主持人</w:t>
            </w:r>
          </w:p>
          <w:p w:rsidR="00F552D7" w:rsidRDefault="00F552D7">
            <w:pPr>
              <w:spacing w:line="600" w:lineRule="exact"/>
              <w:ind w:firstLine="120"/>
              <w:jc w:val="both"/>
              <w:rPr>
                <w:rFonts w:eastAsia="標楷體"/>
                <w:sz w:val="26"/>
              </w:rPr>
            </w:pPr>
            <w:r>
              <w:rPr>
                <w:rFonts w:eastAsia="標楷體" w:hint="eastAsia"/>
                <w:sz w:val="26"/>
              </w:rPr>
              <w:t>（一）</w:t>
            </w:r>
          </w:p>
        </w:tc>
        <w:tc>
          <w:tcPr>
            <w:tcW w:w="3969" w:type="dxa"/>
          </w:tcPr>
          <w:p w:rsidR="00F552D7" w:rsidRDefault="00F552D7">
            <w:pPr>
              <w:spacing w:line="600" w:lineRule="exact"/>
              <w:jc w:val="both"/>
              <w:rPr>
                <w:rFonts w:eastAsia="標楷體"/>
                <w:sz w:val="26"/>
              </w:rPr>
            </w:pPr>
            <w:r>
              <w:rPr>
                <w:rFonts w:eastAsia="標楷體" w:hint="eastAsia"/>
                <w:sz w:val="26"/>
              </w:rPr>
              <w:t>姓名：</w:t>
            </w:r>
            <w:r>
              <w:rPr>
                <w:rFonts w:eastAsia="標楷體" w:hint="eastAsia"/>
                <w:sz w:val="26"/>
              </w:rPr>
              <w:t xml:space="preserve"> </w:t>
            </w:r>
          </w:p>
        </w:tc>
        <w:tc>
          <w:tcPr>
            <w:tcW w:w="3743" w:type="dxa"/>
          </w:tcPr>
          <w:p w:rsidR="00F552D7" w:rsidRDefault="00F552D7">
            <w:pPr>
              <w:spacing w:line="600" w:lineRule="exact"/>
              <w:ind w:right="-1566"/>
              <w:jc w:val="both"/>
              <w:rPr>
                <w:rFonts w:eastAsia="標楷體"/>
                <w:sz w:val="26"/>
              </w:rPr>
            </w:pPr>
            <w:r>
              <w:rPr>
                <w:rFonts w:eastAsia="標楷體" w:hint="eastAsia"/>
                <w:sz w:val="26"/>
              </w:rPr>
              <w:t>機關：</w:t>
            </w:r>
            <w:r>
              <w:rPr>
                <w:rFonts w:eastAsia="標楷體" w:hint="eastAsia"/>
                <w:sz w:val="26"/>
              </w:rPr>
              <w:t xml:space="preserve"> </w:t>
            </w:r>
          </w:p>
        </w:tc>
      </w:tr>
      <w:tr w:rsidR="00F552D7" w:rsidTr="00B07BAC">
        <w:trPr>
          <w:cantSplit/>
        </w:trPr>
        <w:tc>
          <w:tcPr>
            <w:tcW w:w="1814" w:type="dxa"/>
            <w:vMerge/>
          </w:tcPr>
          <w:p w:rsidR="00F552D7" w:rsidRDefault="00F552D7">
            <w:pPr>
              <w:spacing w:line="600" w:lineRule="exact"/>
              <w:ind w:firstLine="120"/>
              <w:jc w:val="both"/>
              <w:rPr>
                <w:rFonts w:eastAsia="標楷體"/>
                <w:sz w:val="26"/>
              </w:rPr>
            </w:pPr>
          </w:p>
        </w:tc>
        <w:tc>
          <w:tcPr>
            <w:tcW w:w="3969" w:type="dxa"/>
          </w:tcPr>
          <w:p w:rsidR="00F552D7" w:rsidRDefault="00F552D7">
            <w:pPr>
              <w:spacing w:line="600" w:lineRule="exact"/>
              <w:jc w:val="both"/>
              <w:rPr>
                <w:rFonts w:eastAsia="標楷體"/>
                <w:sz w:val="26"/>
              </w:rPr>
            </w:pPr>
            <w:r>
              <w:rPr>
                <w:rFonts w:eastAsia="標楷體" w:hint="eastAsia"/>
                <w:sz w:val="26"/>
              </w:rPr>
              <w:t>職稱：</w:t>
            </w:r>
          </w:p>
        </w:tc>
        <w:tc>
          <w:tcPr>
            <w:tcW w:w="3743" w:type="dxa"/>
          </w:tcPr>
          <w:p w:rsidR="00F552D7" w:rsidRDefault="00F552D7">
            <w:pPr>
              <w:spacing w:line="600" w:lineRule="exact"/>
              <w:ind w:right="-1566"/>
              <w:jc w:val="both"/>
              <w:rPr>
                <w:rFonts w:eastAsia="標楷體"/>
                <w:sz w:val="26"/>
              </w:rPr>
            </w:pPr>
            <w:r>
              <w:rPr>
                <w:rFonts w:eastAsia="標楷體" w:hint="eastAsia"/>
                <w:sz w:val="26"/>
              </w:rPr>
              <w:t>單位：</w:t>
            </w:r>
            <w:r>
              <w:rPr>
                <w:rFonts w:eastAsia="標楷體" w:hint="eastAsia"/>
                <w:sz w:val="26"/>
              </w:rPr>
              <w:t xml:space="preserve"> </w:t>
            </w:r>
          </w:p>
        </w:tc>
      </w:tr>
      <w:tr w:rsidR="00F552D7" w:rsidTr="00B07BAC">
        <w:trPr>
          <w:cantSplit/>
        </w:trPr>
        <w:tc>
          <w:tcPr>
            <w:tcW w:w="1814" w:type="dxa"/>
            <w:vMerge w:val="restart"/>
          </w:tcPr>
          <w:p w:rsidR="00F552D7" w:rsidRDefault="00F552D7">
            <w:pPr>
              <w:spacing w:line="600" w:lineRule="exact"/>
              <w:ind w:firstLine="120"/>
              <w:jc w:val="both"/>
              <w:rPr>
                <w:rFonts w:eastAsia="標楷體"/>
                <w:sz w:val="26"/>
              </w:rPr>
            </w:pPr>
            <w:r>
              <w:rPr>
                <w:rFonts w:eastAsia="標楷體" w:hint="eastAsia"/>
                <w:sz w:val="26"/>
              </w:rPr>
              <w:t>共同主持人</w:t>
            </w:r>
          </w:p>
          <w:p w:rsidR="00F552D7" w:rsidRDefault="00F552D7">
            <w:pPr>
              <w:spacing w:line="600" w:lineRule="exact"/>
              <w:ind w:firstLine="120"/>
              <w:jc w:val="both"/>
              <w:rPr>
                <w:rFonts w:eastAsia="標楷體"/>
                <w:sz w:val="26"/>
              </w:rPr>
            </w:pPr>
            <w:r>
              <w:rPr>
                <w:rFonts w:eastAsia="標楷體" w:hint="eastAsia"/>
                <w:sz w:val="26"/>
              </w:rPr>
              <w:t>（二）</w:t>
            </w:r>
          </w:p>
        </w:tc>
        <w:tc>
          <w:tcPr>
            <w:tcW w:w="3969" w:type="dxa"/>
          </w:tcPr>
          <w:p w:rsidR="00F552D7" w:rsidRDefault="00F552D7">
            <w:pPr>
              <w:spacing w:line="600" w:lineRule="exact"/>
              <w:jc w:val="both"/>
              <w:rPr>
                <w:rFonts w:eastAsia="標楷體"/>
                <w:sz w:val="26"/>
              </w:rPr>
            </w:pPr>
            <w:r>
              <w:rPr>
                <w:rFonts w:eastAsia="標楷體" w:hint="eastAsia"/>
                <w:sz w:val="26"/>
              </w:rPr>
              <w:t>姓名：</w:t>
            </w:r>
          </w:p>
        </w:tc>
        <w:tc>
          <w:tcPr>
            <w:tcW w:w="3743" w:type="dxa"/>
          </w:tcPr>
          <w:p w:rsidR="00F552D7" w:rsidRDefault="00F552D7">
            <w:pPr>
              <w:spacing w:line="600" w:lineRule="exact"/>
              <w:ind w:right="-1566"/>
              <w:jc w:val="both"/>
              <w:rPr>
                <w:rFonts w:eastAsia="標楷體"/>
                <w:sz w:val="26"/>
              </w:rPr>
            </w:pPr>
            <w:r>
              <w:rPr>
                <w:rFonts w:eastAsia="標楷體" w:hint="eastAsia"/>
                <w:sz w:val="26"/>
              </w:rPr>
              <w:t>機關：</w:t>
            </w:r>
          </w:p>
        </w:tc>
      </w:tr>
      <w:tr w:rsidR="00F552D7" w:rsidTr="00B07BAC">
        <w:trPr>
          <w:cantSplit/>
        </w:trPr>
        <w:tc>
          <w:tcPr>
            <w:tcW w:w="1814" w:type="dxa"/>
            <w:vMerge/>
          </w:tcPr>
          <w:p w:rsidR="00F552D7" w:rsidRDefault="00F552D7">
            <w:pPr>
              <w:spacing w:line="600" w:lineRule="exact"/>
              <w:ind w:firstLine="120"/>
              <w:jc w:val="both"/>
              <w:rPr>
                <w:rFonts w:eastAsia="標楷體"/>
                <w:sz w:val="26"/>
              </w:rPr>
            </w:pPr>
          </w:p>
        </w:tc>
        <w:tc>
          <w:tcPr>
            <w:tcW w:w="3969" w:type="dxa"/>
          </w:tcPr>
          <w:p w:rsidR="00F552D7" w:rsidRDefault="00F552D7">
            <w:pPr>
              <w:spacing w:line="600" w:lineRule="exact"/>
              <w:jc w:val="both"/>
              <w:rPr>
                <w:rFonts w:eastAsia="標楷體"/>
                <w:sz w:val="26"/>
              </w:rPr>
            </w:pPr>
            <w:r>
              <w:rPr>
                <w:rFonts w:eastAsia="標楷體" w:hint="eastAsia"/>
                <w:sz w:val="26"/>
              </w:rPr>
              <w:t>職稱：</w:t>
            </w:r>
          </w:p>
        </w:tc>
        <w:tc>
          <w:tcPr>
            <w:tcW w:w="3743" w:type="dxa"/>
          </w:tcPr>
          <w:p w:rsidR="00F552D7" w:rsidRDefault="00F552D7">
            <w:pPr>
              <w:spacing w:line="600" w:lineRule="exact"/>
              <w:ind w:right="-1566"/>
              <w:jc w:val="both"/>
              <w:rPr>
                <w:rFonts w:eastAsia="標楷體"/>
                <w:sz w:val="26"/>
              </w:rPr>
            </w:pPr>
            <w:r>
              <w:rPr>
                <w:rFonts w:eastAsia="標楷體" w:hint="eastAsia"/>
                <w:sz w:val="26"/>
              </w:rPr>
              <w:t>單位：</w:t>
            </w:r>
          </w:p>
        </w:tc>
      </w:tr>
      <w:tr w:rsidR="00F552D7" w:rsidTr="00B07BAC">
        <w:trPr>
          <w:cantSplit/>
        </w:trPr>
        <w:tc>
          <w:tcPr>
            <w:tcW w:w="1814" w:type="dxa"/>
            <w:vMerge w:val="restart"/>
          </w:tcPr>
          <w:p w:rsidR="00F552D7" w:rsidRDefault="00F552D7">
            <w:pPr>
              <w:spacing w:line="600" w:lineRule="exact"/>
              <w:ind w:firstLine="120"/>
              <w:jc w:val="both"/>
              <w:rPr>
                <w:rFonts w:eastAsia="標楷體"/>
                <w:sz w:val="26"/>
              </w:rPr>
            </w:pPr>
            <w:r>
              <w:rPr>
                <w:rFonts w:eastAsia="標楷體" w:hint="eastAsia"/>
                <w:sz w:val="26"/>
              </w:rPr>
              <w:t>共同主持人</w:t>
            </w:r>
          </w:p>
          <w:p w:rsidR="00F552D7" w:rsidRDefault="00F552D7">
            <w:pPr>
              <w:spacing w:line="600" w:lineRule="exact"/>
              <w:ind w:firstLine="120"/>
              <w:jc w:val="both"/>
              <w:rPr>
                <w:rFonts w:eastAsia="標楷體"/>
                <w:sz w:val="26"/>
              </w:rPr>
            </w:pPr>
            <w:r>
              <w:rPr>
                <w:rFonts w:eastAsia="標楷體" w:hint="eastAsia"/>
                <w:sz w:val="26"/>
              </w:rPr>
              <w:t>（三）</w:t>
            </w:r>
          </w:p>
        </w:tc>
        <w:tc>
          <w:tcPr>
            <w:tcW w:w="3969" w:type="dxa"/>
          </w:tcPr>
          <w:p w:rsidR="00F552D7" w:rsidRDefault="00F552D7">
            <w:pPr>
              <w:spacing w:line="600" w:lineRule="exact"/>
              <w:jc w:val="both"/>
              <w:rPr>
                <w:rFonts w:eastAsia="標楷體"/>
                <w:sz w:val="26"/>
              </w:rPr>
            </w:pPr>
            <w:r>
              <w:rPr>
                <w:rFonts w:eastAsia="標楷體" w:hint="eastAsia"/>
                <w:sz w:val="26"/>
              </w:rPr>
              <w:t>姓名：</w:t>
            </w:r>
          </w:p>
        </w:tc>
        <w:tc>
          <w:tcPr>
            <w:tcW w:w="3743" w:type="dxa"/>
          </w:tcPr>
          <w:p w:rsidR="00F552D7" w:rsidRDefault="00F552D7">
            <w:pPr>
              <w:spacing w:line="600" w:lineRule="exact"/>
              <w:ind w:right="-1566"/>
              <w:jc w:val="both"/>
              <w:rPr>
                <w:rFonts w:eastAsia="標楷體"/>
                <w:sz w:val="26"/>
              </w:rPr>
            </w:pPr>
            <w:r>
              <w:rPr>
                <w:rFonts w:eastAsia="標楷體" w:hint="eastAsia"/>
                <w:sz w:val="26"/>
              </w:rPr>
              <w:t>機關：</w:t>
            </w:r>
          </w:p>
        </w:tc>
      </w:tr>
      <w:tr w:rsidR="00F552D7" w:rsidTr="00B07BAC">
        <w:trPr>
          <w:cantSplit/>
        </w:trPr>
        <w:tc>
          <w:tcPr>
            <w:tcW w:w="1814" w:type="dxa"/>
            <w:vMerge/>
          </w:tcPr>
          <w:p w:rsidR="00F552D7" w:rsidRDefault="00F552D7">
            <w:pPr>
              <w:spacing w:line="600" w:lineRule="exact"/>
              <w:ind w:firstLine="120"/>
              <w:jc w:val="both"/>
              <w:rPr>
                <w:rFonts w:eastAsia="標楷體"/>
                <w:sz w:val="26"/>
              </w:rPr>
            </w:pPr>
          </w:p>
        </w:tc>
        <w:tc>
          <w:tcPr>
            <w:tcW w:w="3969" w:type="dxa"/>
          </w:tcPr>
          <w:p w:rsidR="00F552D7" w:rsidRDefault="00F552D7">
            <w:pPr>
              <w:spacing w:line="600" w:lineRule="exact"/>
              <w:jc w:val="both"/>
              <w:rPr>
                <w:rFonts w:eastAsia="標楷體"/>
                <w:sz w:val="26"/>
              </w:rPr>
            </w:pPr>
            <w:r>
              <w:rPr>
                <w:rFonts w:eastAsia="標楷體" w:hint="eastAsia"/>
                <w:sz w:val="26"/>
              </w:rPr>
              <w:t>職稱：</w:t>
            </w:r>
          </w:p>
        </w:tc>
        <w:tc>
          <w:tcPr>
            <w:tcW w:w="3743" w:type="dxa"/>
          </w:tcPr>
          <w:p w:rsidR="00F552D7" w:rsidRDefault="00F552D7">
            <w:pPr>
              <w:spacing w:line="600" w:lineRule="exact"/>
              <w:ind w:right="-1566"/>
              <w:jc w:val="both"/>
              <w:rPr>
                <w:rFonts w:eastAsia="標楷體"/>
                <w:sz w:val="26"/>
              </w:rPr>
            </w:pPr>
            <w:r>
              <w:rPr>
                <w:rFonts w:eastAsia="標楷體" w:hint="eastAsia"/>
                <w:sz w:val="26"/>
              </w:rPr>
              <w:t>單位：</w:t>
            </w:r>
          </w:p>
        </w:tc>
      </w:tr>
      <w:tr w:rsidR="00F552D7" w:rsidTr="00B07BAC">
        <w:trPr>
          <w:cantSplit/>
        </w:trPr>
        <w:tc>
          <w:tcPr>
            <w:tcW w:w="1814" w:type="dxa"/>
            <w:vMerge w:val="restart"/>
          </w:tcPr>
          <w:p w:rsidR="00F552D7" w:rsidRDefault="00F552D7">
            <w:pPr>
              <w:spacing w:line="600" w:lineRule="exact"/>
              <w:ind w:firstLine="120"/>
              <w:jc w:val="both"/>
              <w:rPr>
                <w:rFonts w:eastAsia="標楷體"/>
                <w:sz w:val="26"/>
              </w:rPr>
            </w:pPr>
            <w:r>
              <w:rPr>
                <w:rFonts w:eastAsia="標楷體" w:hint="eastAsia"/>
                <w:sz w:val="26"/>
              </w:rPr>
              <w:t>共同主持人</w:t>
            </w:r>
          </w:p>
          <w:p w:rsidR="00F552D7" w:rsidRDefault="00F552D7">
            <w:pPr>
              <w:spacing w:line="600" w:lineRule="exact"/>
              <w:ind w:firstLine="120"/>
              <w:jc w:val="both"/>
              <w:rPr>
                <w:rFonts w:eastAsia="標楷體"/>
                <w:sz w:val="26"/>
              </w:rPr>
            </w:pPr>
            <w:r>
              <w:rPr>
                <w:rFonts w:eastAsia="標楷體" w:hint="eastAsia"/>
                <w:sz w:val="26"/>
              </w:rPr>
              <w:t>（四）</w:t>
            </w:r>
          </w:p>
        </w:tc>
        <w:tc>
          <w:tcPr>
            <w:tcW w:w="3969" w:type="dxa"/>
          </w:tcPr>
          <w:p w:rsidR="00F552D7" w:rsidRDefault="00F552D7">
            <w:pPr>
              <w:spacing w:line="600" w:lineRule="exact"/>
              <w:jc w:val="both"/>
              <w:rPr>
                <w:rFonts w:eastAsia="標楷體"/>
                <w:sz w:val="26"/>
              </w:rPr>
            </w:pPr>
            <w:r>
              <w:rPr>
                <w:rFonts w:eastAsia="標楷體" w:hint="eastAsia"/>
                <w:sz w:val="26"/>
              </w:rPr>
              <w:t>姓名：</w:t>
            </w:r>
          </w:p>
        </w:tc>
        <w:tc>
          <w:tcPr>
            <w:tcW w:w="3743" w:type="dxa"/>
          </w:tcPr>
          <w:p w:rsidR="00F552D7" w:rsidRDefault="00F552D7">
            <w:pPr>
              <w:spacing w:line="600" w:lineRule="exact"/>
              <w:ind w:right="-1566"/>
              <w:jc w:val="both"/>
              <w:rPr>
                <w:rFonts w:eastAsia="標楷體"/>
                <w:sz w:val="26"/>
              </w:rPr>
            </w:pPr>
            <w:r>
              <w:rPr>
                <w:rFonts w:eastAsia="標楷體" w:hint="eastAsia"/>
                <w:sz w:val="26"/>
              </w:rPr>
              <w:t>機關：</w:t>
            </w:r>
          </w:p>
        </w:tc>
      </w:tr>
      <w:tr w:rsidR="00F552D7" w:rsidTr="00B07BAC">
        <w:trPr>
          <w:cantSplit/>
        </w:trPr>
        <w:tc>
          <w:tcPr>
            <w:tcW w:w="1814" w:type="dxa"/>
            <w:vMerge/>
          </w:tcPr>
          <w:p w:rsidR="00F552D7" w:rsidRDefault="00F552D7">
            <w:pPr>
              <w:spacing w:line="600" w:lineRule="exact"/>
              <w:ind w:firstLine="120"/>
              <w:jc w:val="both"/>
              <w:rPr>
                <w:rFonts w:eastAsia="標楷體"/>
                <w:sz w:val="26"/>
              </w:rPr>
            </w:pPr>
          </w:p>
        </w:tc>
        <w:tc>
          <w:tcPr>
            <w:tcW w:w="3969" w:type="dxa"/>
          </w:tcPr>
          <w:p w:rsidR="00F552D7" w:rsidRDefault="00F552D7">
            <w:pPr>
              <w:spacing w:line="600" w:lineRule="exact"/>
              <w:jc w:val="both"/>
              <w:rPr>
                <w:rFonts w:eastAsia="標楷體"/>
                <w:sz w:val="26"/>
              </w:rPr>
            </w:pPr>
            <w:r>
              <w:rPr>
                <w:rFonts w:eastAsia="標楷體" w:hint="eastAsia"/>
                <w:sz w:val="26"/>
              </w:rPr>
              <w:t>職稱：</w:t>
            </w:r>
          </w:p>
        </w:tc>
        <w:tc>
          <w:tcPr>
            <w:tcW w:w="3743" w:type="dxa"/>
          </w:tcPr>
          <w:p w:rsidR="00F552D7" w:rsidRDefault="00F552D7">
            <w:pPr>
              <w:spacing w:line="600" w:lineRule="exact"/>
              <w:ind w:right="-1566"/>
              <w:jc w:val="both"/>
              <w:rPr>
                <w:rFonts w:eastAsia="標楷體"/>
                <w:sz w:val="26"/>
              </w:rPr>
            </w:pPr>
            <w:r>
              <w:rPr>
                <w:rFonts w:eastAsia="標楷體" w:hint="eastAsia"/>
                <w:sz w:val="26"/>
              </w:rPr>
              <w:t>單位：</w:t>
            </w:r>
          </w:p>
        </w:tc>
      </w:tr>
    </w:tbl>
    <w:p w:rsidR="004E2477" w:rsidRDefault="004E2477">
      <w:pPr>
        <w:tabs>
          <w:tab w:val="num" w:pos="826"/>
        </w:tabs>
        <w:spacing w:line="360" w:lineRule="exact"/>
        <w:ind w:leftChars="-5" w:left="3477" w:hangingChars="1245" w:hanging="3489"/>
        <w:jc w:val="center"/>
        <w:rPr>
          <w:rFonts w:eastAsia="標楷體"/>
          <w:b/>
          <w:bCs/>
          <w:noProof/>
          <w:sz w:val="28"/>
        </w:rPr>
      </w:pPr>
    </w:p>
    <w:p w:rsidR="003A19EC" w:rsidRDefault="003A19EC">
      <w:pPr>
        <w:tabs>
          <w:tab w:val="num" w:pos="826"/>
        </w:tabs>
        <w:spacing w:line="360" w:lineRule="exact"/>
        <w:ind w:leftChars="-5" w:left="3477" w:hangingChars="1245" w:hanging="3489"/>
        <w:jc w:val="center"/>
        <w:rPr>
          <w:rFonts w:eastAsia="標楷體"/>
          <w:b/>
          <w:bCs/>
          <w:noProof/>
          <w:sz w:val="28"/>
        </w:rPr>
        <w:sectPr w:rsidR="003A19EC">
          <w:pgSz w:w="11906" w:h="16838"/>
          <w:pgMar w:top="1440" w:right="1800" w:bottom="1440" w:left="1800" w:header="851" w:footer="992" w:gutter="0"/>
          <w:cols w:space="425"/>
          <w:docGrid w:type="lines" w:linePitch="360"/>
        </w:sectPr>
      </w:pPr>
    </w:p>
    <w:p w:rsidR="00F552D7" w:rsidRDefault="00B07BAC">
      <w:pPr>
        <w:tabs>
          <w:tab w:val="num" w:pos="826"/>
        </w:tabs>
        <w:spacing w:line="360" w:lineRule="exact"/>
        <w:ind w:leftChars="-5" w:left="3477" w:hangingChars="1245" w:hanging="3489"/>
        <w:jc w:val="center"/>
        <w:rPr>
          <w:rFonts w:eastAsia="標楷體"/>
          <w:b/>
          <w:bCs/>
          <w:noProof/>
          <w:sz w:val="28"/>
        </w:rPr>
      </w:pPr>
      <w:r>
        <w:rPr>
          <w:rFonts w:eastAsia="標楷體" w:hint="eastAsia"/>
          <w:b/>
          <w:bCs/>
          <w:noProof/>
          <w:sz w:val="28"/>
        </w:rPr>
        <w:lastRenderedPageBreak/>
        <w:t>研究計畫</w:t>
      </w:r>
      <w:r w:rsidR="00F552D7">
        <w:rPr>
          <w:rFonts w:eastAsia="標楷體" w:hint="eastAsia"/>
          <w:b/>
          <w:bCs/>
          <w:noProof/>
          <w:sz w:val="28"/>
        </w:rPr>
        <w:t>摘要</w:t>
      </w:r>
    </w:p>
    <w:p w:rsidR="001B6C88" w:rsidRDefault="001B6C88">
      <w:pPr>
        <w:tabs>
          <w:tab w:val="num" w:pos="826"/>
        </w:tabs>
        <w:spacing w:line="360" w:lineRule="exact"/>
        <w:ind w:leftChars="-5" w:left="2976" w:hangingChars="1245" w:hanging="2988"/>
        <w:rPr>
          <w:rFonts w:eastAsia="標楷體"/>
        </w:rPr>
      </w:pPr>
    </w:p>
    <w:p w:rsidR="00F552D7" w:rsidRDefault="001B6C88" w:rsidP="003A19EC">
      <w:pPr>
        <w:tabs>
          <w:tab w:val="num" w:pos="826"/>
        </w:tabs>
        <w:spacing w:line="360" w:lineRule="exact"/>
        <w:ind w:leftChars="-5" w:left="1134" w:hangingChars="477" w:hanging="1146"/>
        <w:rPr>
          <w:rFonts w:eastAsia="標楷體"/>
        </w:rPr>
      </w:pPr>
      <w:r w:rsidRPr="001B6C88">
        <w:rPr>
          <w:rFonts w:eastAsia="標楷體" w:hint="eastAsia"/>
          <w:b/>
        </w:rPr>
        <w:t>研究主題</w:t>
      </w:r>
      <w:r w:rsidRPr="001B6C88">
        <w:rPr>
          <w:rFonts w:eastAsia="標楷體" w:hint="eastAsia"/>
          <w:b/>
        </w:rPr>
        <w:t>:</w:t>
      </w:r>
      <w:r>
        <w:rPr>
          <w:rFonts w:eastAsia="標楷體" w:hint="eastAsia"/>
        </w:rPr>
        <w:t xml:space="preserve"> </w:t>
      </w:r>
      <w:r w:rsidR="008E4474">
        <w:rPr>
          <w:rFonts w:eastAsia="標楷體" w:hint="eastAsia"/>
        </w:rPr>
        <w:t>建立評估慢性</w:t>
      </w:r>
      <w:r w:rsidR="008E4474">
        <w:rPr>
          <w:rFonts w:eastAsia="標楷體" w:hint="eastAsia"/>
        </w:rPr>
        <w:t>B</w:t>
      </w:r>
      <w:r w:rsidR="008E4474">
        <w:rPr>
          <w:rFonts w:eastAsia="標楷體" w:hint="eastAsia"/>
        </w:rPr>
        <w:t>型肝炎患者停止</w:t>
      </w:r>
      <w:r w:rsidR="009C45A6">
        <w:rPr>
          <w:rFonts w:eastAsia="標楷體" w:hint="eastAsia"/>
        </w:rPr>
        <w:t>類核苷</w:t>
      </w:r>
      <w:r w:rsidR="009C45A6">
        <w:rPr>
          <w:rFonts w:eastAsia="標楷體" w:hint="eastAsia"/>
        </w:rPr>
        <w:t>(</w:t>
      </w:r>
      <w:r w:rsidR="009C45A6">
        <w:rPr>
          <w:rFonts w:eastAsia="標楷體" w:hint="eastAsia"/>
        </w:rPr>
        <w:t>酸</w:t>
      </w:r>
      <w:r w:rsidR="009C45A6">
        <w:rPr>
          <w:rFonts w:eastAsia="標楷體" w:hint="eastAsia"/>
        </w:rPr>
        <w:t>)</w:t>
      </w:r>
      <w:r w:rsidR="008E4474">
        <w:rPr>
          <w:rFonts w:eastAsia="標楷體" w:hint="eastAsia"/>
        </w:rPr>
        <w:t>治療的風險預測模型</w:t>
      </w:r>
    </w:p>
    <w:p w:rsidR="001B6C88" w:rsidRPr="008E4474" w:rsidRDefault="001B6C88">
      <w:pPr>
        <w:tabs>
          <w:tab w:val="num" w:pos="826"/>
        </w:tabs>
        <w:spacing w:line="360" w:lineRule="exact"/>
        <w:ind w:leftChars="-5" w:left="2976" w:hangingChars="1245" w:hanging="2988"/>
        <w:rPr>
          <w:rFonts w:eastAsia="標楷體"/>
        </w:rPr>
      </w:pPr>
    </w:p>
    <w:p w:rsidR="00B07BAC" w:rsidRPr="00B07BAC" w:rsidRDefault="001B6C88" w:rsidP="003142F5">
      <w:pPr>
        <w:rPr>
          <w:rFonts w:ascii="標楷體" w:eastAsia="標楷體" w:hAnsi="標楷體"/>
          <w:b/>
          <w:color w:val="000000"/>
        </w:rPr>
      </w:pPr>
      <w:r>
        <w:rPr>
          <w:rFonts w:ascii="標楷體" w:eastAsia="標楷體" w:hAnsi="標楷體" w:hint="eastAsia"/>
          <w:b/>
          <w:color w:val="000000"/>
        </w:rPr>
        <w:t>ㄧ、試驗目的</w:t>
      </w:r>
      <w:r w:rsidR="00B07BAC" w:rsidRPr="00B07BAC">
        <w:rPr>
          <w:rFonts w:ascii="標楷體" w:eastAsia="標楷體" w:hAnsi="標楷體" w:hint="eastAsia"/>
          <w:b/>
          <w:color w:val="000000"/>
        </w:rPr>
        <w:t>：</w:t>
      </w:r>
    </w:p>
    <w:p w:rsidR="009C45A6" w:rsidRPr="009C45A6" w:rsidRDefault="009C45A6" w:rsidP="009C45A6">
      <w:pPr>
        <w:rPr>
          <w:rFonts w:ascii="標楷體" w:eastAsia="標楷體" w:hAnsi="標楷體"/>
          <w:color w:val="000000"/>
        </w:rPr>
      </w:pPr>
      <w:r w:rsidRPr="009C45A6">
        <w:rPr>
          <w:rFonts w:ascii="標楷體" w:eastAsia="標楷體" w:hAnsi="標楷體" w:hint="eastAsia"/>
          <w:color w:val="000000"/>
        </w:rPr>
        <w:t>1. 分析</w:t>
      </w:r>
      <w:r w:rsidR="008E4474">
        <w:rPr>
          <w:rFonts w:ascii="標楷體" w:eastAsia="標楷體" w:hAnsi="標楷體" w:hint="eastAsia"/>
          <w:color w:val="000000"/>
        </w:rPr>
        <w:t>慢性B型肝炎患者</w:t>
      </w:r>
      <w:r w:rsidRPr="009C45A6">
        <w:rPr>
          <w:rFonts w:ascii="標楷體" w:eastAsia="標楷體" w:hAnsi="標楷體" w:hint="eastAsia"/>
          <w:color w:val="000000"/>
        </w:rPr>
        <w:t>停止類核甘(酸)治療後</w:t>
      </w:r>
      <w:r w:rsidR="008E4474">
        <w:rPr>
          <w:rFonts w:ascii="標楷體" w:eastAsia="標楷體" w:hAnsi="標楷體" w:hint="eastAsia"/>
          <w:color w:val="000000"/>
        </w:rPr>
        <w:t>復發的危險因子</w:t>
      </w:r>
    </w:p>
    <w:p w:rsidR="004E2477" w:rsidRDefault="009C45A6" w:rsidP="009C45A6">
      <w:pPr>
        <w:rPr>
          <w:rFonts w:ascii="標楷體" w:eastAsia="標楷體" w:hAnsi="標楷體"/>
          <w:color w:val="000000"/>
        </w:rPr>
      </w:pPr>
      <w:r w:rsidRPr="009C45A6">
        <w:rPr>
          <w:rFonts w:ascii="標楷體" w:eastAsia="標楷體" w:hAnsi="標楷體"/>
          <w:color w:val="000000"/>
        </w:rPr>
        <w:t xml:space="preserve">2. </w:t>
      </w:r>
      <w:r w:rsidR="008E4474">
        <w:rPr>
          <w:rFonts w:ascii="標楷體" w:eastAsia="標楷體" w:hAnsi="標楷體" w:hint="eastAsia"/>
          <w:color w:val="000000"/>
        </w:rPr>
        <w:t>綜合已知危險因子建立風險預測模型</w:t>
      </w:r>
    </w:p>
    <w:p w:rsidR="00261B60" w:rsidRPr="00D845D0" w:rsidRDefault="00261B60" w:rsidP="003142F5">
      <w:pPr>
        <w:rPr>
          <w:rFonts w:ascii="標楷體" w:eastAsia="標楷體" w:hAnsi="標楷體"/>
          <w:color w:val="000000"/>
        </w:rPr>
      </w:pPr>
    </w:p>
    <w:p w:rsidR="00B07BAC" w:rsidRPr="00B07BAC" w:rsidRDefault="00B07BAC" w:rsidP="003142F5">
      <w:pPr>
        <w:rPr>
          <w:rFonts w:ascii="標楷體" w:eastAsia="標楷體" w:hAnsi="標楷體"/>
          <w:b/>
          <w:color w:val="000000"/>
        </w:rPr>
      </w:pPr>
      <w:r w:rsidRPr="00B07BAC">
        <w:rPr>
          <w:rFonts w:ascii="標楷體" w:eastAsia="標楷體" w:hAnsi="標楷體" w:hint="eastAsia"/>
          <w:b/>
          <w:color w:val="000000"/>
        </w:rPr>
        <w:t>二、研究背景：</w:t>
      </w:r>
    </w:p>
    <w:p w:rsidR="00826ADC" w:rsidRDefault="00826ADC" w:rsidP="00D70640">
      <w:pPr>
        <w:rPr>
          <w:rFonts w:ascii="標楷體" w:eastAsia="標楷體" w:hAnsi="標楷體"/>
          <w:color w:val="000000"/>
        </w:rPr>
      </w:pPr>
      <w:r>
        <w:rPr>
          <w:rFonts w:ascii="標楷體" w:eastAsia="標楷體" w:hAnsi="標楷體" w:hint="eastAsia"/>
          <w:color w:val="000000"/>
        </w:rPr>
        <w:t xml:space="preserve">  </w:t>
      </w:r>
      <w:r w:rsidRPr="00261B60">
        <w:rPr>
          <w:rFonts w:ascii="標楷體" w:eastAsia="標楷體" w:hAnsi="標楷體" w:hint="eastAsia"/>
          <w:color w:val="000000"/>
        </w:rPr>
        <w:t xml:space="preserve">  </w:t>
      </w:r>
      <w:r w:rsidR="00D70640" w:rsidRPr="00D70640">
        <w:rPr>
          <w:rFonts w:ascii="標楷體" w:eastAsia="標楷體" w:hAnsi="標楷體" w:hint="eastAsia"/>
          <w:color w:val="000000"/>
        </w:rPr>
        <w:t>慢性B型肝炎是</w:t>
      </w:r>
      <w:r w:rsidR="00A8741B">
        <w:rPr>
          <w:rFonts w:ascii="標楷體" w:eastAsia="標楷體" w:hAnsi="標楷體" w:hint="eastAsia"/>
          <w:color w:val="000000"/>
        </w:rPr>
        <w:t>全世界的重要公共衛生問題，是</w:t>
      </w:r>
      <w:r w:rsidR="00D70640" w:rsidRPr="00D70640">
        <w:rPr>
          <w:rFonts w:ascii="標楷體" w:eastAsia="標楷體" w:hAnsi="標楷體" w:hint="eastAsia"/>
          <w:color w:val="000000"/>
        </w:rPr>
        <w:t>肝硬化，肝衰竭，以及肝癌的主要病因，</w:t>
      </w:r>
      <w:r w:rsidR="00C73079">
        <w:rPr>
          <w:rFonts w:ascii="標楷體" w:eastAsia="標楷體" w:hAnsi="標楷體" w:hint="eastAsia"/>
          <w:color w:val="000000"/>
        </w:rPr>
        <w:t>雖然</w:t>
      </w:r>
      <w:r w:rsidR="004B58CF">
        <w:rPr>
          <w:rFonts w:ascii="標楷體" w:eastAsia="標楷體" w:hAnsi="標楷體" w:hint="eastAsia"/>
          <w:color w:val="000000"/>
        </w:rPr>
        <w:t>類核苷(酸)口服抗病毒藥物可以有效抑制病毒複製，讓</w:t>
      </w:r>
      <w:r w:rsidR="00D70640" w:rsidRPr="00D70640">
        <w:rPr>
          <w:rFonts w:ascii="標楷體" w:eastAsia="標楷體" w:hAnsi="標楷體"/>
          <w:color w:val="000000"/>
        </w:rPr>
        <w:t>B</w:t>
      </w:r>
      <w:r w:rsidR="004B58CF">
        <w:rPr>
          <w:rFonts w:ascii="標楷體" w:eastAsia="標楷體" w:hAnsi="標楷體" w:hint="eastAsia"/>
          <w:color w:val="000000"/>
        </w:rPr>
        <w:t>型肝炎</w:t>
      </w:r>
      <w:r w:rsidR="00C73079">
        <w:rPr>
          <w:rFonts w:ascii="標楷體" w:eastAsia="標楷體" w:hAnsi="標楷體" w:hint="eastAsia"/>
          <w:color w:val="000000"/>
        </w:rPr>
        <w:t>進入不活動狀態，然而</w:t>
      </w:r>
      <w:r w:rsidR="00D70640" w:rsidRPr="00D70640">
        <w:rPr>
          <w:rFonts w:ascii="標楷體" w:eastAsia="標楷體" w:hAnsi="標楷體" w:hint="eastAsia"/>
          <w:color w:val="000000"/>
        </w:rPr>
        <w:t>停止治療後，多數病人</w:t>
      </w:r>
      <w:r w:rsidR="004B58CF">
        <w:rPr>
          <w:rFonts w:ascii="標楷體" w:eastAsia="標楷體" w:hAnsi="標楷體" w:hint="eastAsia"/>
          <w:color w:val="000000"/>
        </w:rPr>
        <w:t>體內</w:t>
      </w:r>
      <w:r w:rsidR="00D70640" w:rsidRPr="00D70640">
        <w:rPr>
          <w:rFonts w:ascii="標楷體" w:eastAsia="標楷體" w:hAnsi="標楷體"/>
          <w:color w:val="000000"/>
        </w:rPr>
        <w:t>B</w:t>
      </w:r>
      <w:r w:rsidR="004B58CF">
        <w:rPr>
          <w:rFonts w:ascii="標楷體" w:eastAsia="標楷體" w:hAnsi="標楷體" w:hint="eastAsia"/>
          <w:color w:val="000000"/>
        </w:rPr>
        <w:t>肝病毒會再度活躍</w:t>
      </w:r>
      <w:r w:rsidR="00D70640" w:rsidRPr="00D70640">
        <w:rPr>
          <w:rFonts w:ascii="標楷體" w:eastAsia="標楷體" w:hAnsi="標楷體" w:hint="eastAsia"/>
          <w:color w:val="000000"/>
        </w:rPr>
        <w:t>，可能又會復發活動性肝炎，甚至導致嚴重急性發作。</w:t>
      </w:r>
    </w:p>
    <w:p w:rsidR="00B07BAC" w:rsidRDefault="007F3089" w:rsidP="003142F5">
      <w:pPr>
        <w:rPr>
          <w:rFonts w:ascii="標楷體" w:eastAsia="標楷體" w:hAnsi="標楷體"/>
          <w:color w:val="000000"/>
        </w:rPr>
      </w:pPr>
      <w:r>
        <w:rPr>
          <w:rFonts w:ascii="標楷體" w:eastAsia="標楷體" w:hAnsi="標楷體" w:hint="eastAsia"/>
          <w:color w:val="000000"/>
        </w:rPr>
        <w:t xml:space="preserve">    </w:t>
      </w:r>
      <w:r w:rsidR="0043431E">
        <w:rPr>
          <w:rFonts w:ascii="標楷體" w:eastAsia="標楷體" w:hAnsi="標楷體" w:hint="eastAsia"/>
          <w:color w:val="000000"/>
        </w:rPr>
        <w:t>我們以往研究已發現表現抗原濃度，病毒學復發時病毒量，年紀，與血清轉安酶濃度是停藥後復發的獨立危險因子，目前仍在檢驗</w:t>
      </w:r>
      <w:r w:rsidR="009C45A6" w:rsidRPr="009C45A6">
        <w:rPr>
          <w:rFonts w:ascii="標楷體" w:eastAsia="標楷體" w:hAnsi="標楷體"/>
          <w:color w:val="000000"/>
        </w:rPr>
        <w:t>B</w:t>
      </w:r>
      <w:r w:rsidR="009C45A6" w:rsidRPr="009C45A6">
        <w:rPr>
          <w:rFonts w:ascii="標楷體" w:eastAsia="標楷體" w:hAnsi="標楷體" w:hint="eastAsia"/>
          <w:color w:val="000000"/>
        </w:rPr>
        <w:t>型肝炎核心</w:t>
      </w:r>
      <w:r w:rsidR="0043431E">
        <w:rPr>
          <w:rFonts w:ascii="標楷體" w:eastAsia="標楷體" w:hAnsi="標楷體" w:hint="eastAsia"/>
          <w:color w:val="000000"/>
        </w:rPr>
        <w:t>相關</w:t>
      </w:r>
      <w:r w:rsidR="009C45A6" w:rsidRPr="009C45A6">
        <w:rPr>
          <w:rFonts w:ascii="標楷體" w:eastAsia="標楷體" w:hAnsi="標楷體" w:hint="eastAsia"/>
          <w:color w:val="000000"/>
        </w:rPr>
        <w:t>抗原</w:t>
      </w:r>
      <w:r w:rsidR="009C45A6" w:rsidRPr="009C45A6">
        <w:rPr>
          <w:rFonts w:ascii="標楷體" w:eastAsia="標楷體" w:hAnsi="標楷體"/>
          <w:color w:val="000000"/>
        </w:rPr>
        <w:t>(Hepatitis B core</w:t>
      </w:r>
      <w:r w:rsidR="0043431E">
        <w:rPr>
          <w:rFonts w:ascii="標楷體" w:eastAsia="標楷體" w:hAnsi="標楷體"/>
          <w:color w:val="000000"/>
        </w:rPr>
        <w:t>-related</w:t>
      </w:r>
      <w:r w:rsidR="009C45A6" w:rsidRPr="009C45A6">
        <w:rPr>
          <w:rFonts w:ascii="標楷體" w:eastAsia="標楷體" w:hAnsi="標楷體"/>
          <w:color w:val="000000"/>
        </w:rPr>
        <w:t xml:space="preserve"> Antigen, HBcAg)</w:t>
      </w:r>
      <w:r w:rsidR="009C45A6" w:rsidRPr="009C45A6">
        <w:rPr>
          <w:rFonts w:ascii="標楷體" w:eastAsia="標楷體" w:hAnsi="標楷體" w:hint="eastAsia"/>
          <w:color w:val="000000"/>
        </w:rPr>
        <w:t>可否預測類核苷</w:t>
      </w:r>
      <w:r w:rsidR="009C45A6" w:rsidRPr="009C45A6">
        <w:rPr>
          <w:rFonts w:ascii="標楷體" w:eastAsia="標楷體" w:hAnsi="標楷體"/>
          <w:color w:val="000000"/>
        </w:rPr>
        <w:t>(</w:t>
      </w:r>
      <w:r w:rsidR="009C45A6" w:rsidRPr="009C45A6">
        <w:rPr>
          <w:rFonts w:ascii="標楷體" w:eastAsia="標楷體" w:hAnsi="標楷體" w:hint="eastAsia"/>
          <w:color w:val="000000"/>
        </w:rPr>
        <w:t>酸</w:t>
      </w:r>
      <w:r w:rsidR="009C45A6" w:rsidRPr="009C45A6">
        <w:rPr>
          <w:rFonts w:ascii="標楷體" w:eastAsia="標楷體" w:hAnsi="標楷體"/>
          <w:color w:val="000000"/>
        </w:rPr>
        <w:t>)</w:t>
      </w:r>
      <w:r w:rsidR="0043431E">
        <w:rPr>
          <w:rFonts w:ascii="標楷體" w:eastAsia="標楷體" w:hAnsi="標楷體" w:hint="eastAsia"/>
          <w:color w:val="000000"/>
        </w:rPr>
        <w:t>藥物停藥後反應；但是尚未能建立完整的風險預測模型，本研究擬持續既有成果，發展並驗證可以準確預測安全停藥的風險模型。</w:t>
      </w:r>
    </w:p>
    <w:p w:rsidR="00C73079" w:rsidRPr="0043431E" w:rsidRDefault="00C73079" w:rsidP="003142F5">
      <w:pPr>
        <w:rPr>
          <w:rFonts w:ascii="標楷體" w:eastAsia="標楷體" w:hAnsi="標楷體"/>
          <w:b/>
          <w:color w:val="000000"/>
        </w:rPr>
      </w:pPr>
    </w:p>
    <w:p w:rsidR="00261B60" w:rsidRPr="00261B60" w:rsidRDefault="00261B60" w:rsidP="003142F5">
      <w:pPr>
        <w:rPr>
          <w:rFonts w:ascii="標楷體" w:eastAsia="標楷體" w:hAnsi="標楷體"/>
          <w:b/>
          <w:color w:val="000000"/>
        </w:rPr>
      </w:pPr>
      <w:r w:rsidRPr="00261B60">
        <w:rPr>
          <w:rFonts w:ascii="標楷體" w:eastAsia="標楷體" w:hAnsi="標楷體" w:hint="eastAsia"/>
          <w:b/>
          <w:color w:val="000000"/>
        </w:rPr>
        <w:t>三、研究方法：</w:t>
      </w:r>
    </w:p>
    <w:p w:rsidR="00C73079" w:rsidRPr="00782894" w:rsidRDefault="00261B60" w:rsidP="009C45A6">
      <w:pPr>
        <w:jc w:val="both"/>
        <w:rPr>
          <w:rFonts w:ascii="標楷體" w:eastAsia="標楷體" w:hAnsi="標楷體"/>
          <w:color w:val="000000"/>
        </w:rPr>
      </w:pPr>
      <w:r w:rsidRPr="00261B60">
        <w:rPr>
          <w:rFonts w:ascii="標楷體" w:eastAsia="標楷體" w:hAnsi="標楷體" w:hint="eastAsia"/>
          <w:color w:val="000000"/>
        </w:rPr>
        <w:t xml:space="preserve">　　</w:t>
      </w:r>
      <w:r w:rsidR="001C352E">
        <w:rPr>
          <w:rFonts w:ascii="標楷體" w:eastAsia="標楷體" w:hAnsi="標楷體" w:hint="eastAsia"/>
          <w:color w:val="000000"/>
        </w:rPr>
        <w:t>本</w:t>
      </w:r>
      <w:r w:rsidR="00C73079">
        <w:rPr>
          <w:rFonts w:ascii="標楷體" w:eastAsia="標楷體" w:hAnsi="標楷體" w:hint="eastAsia"/>
          <w:color w:val="000000"/>
        </w:rPr>
        <w:t>計畫</w:t>
      </w:r>
      <w:r w:rsidR="001C352E">
        <w:rPr>
          <w:rFonts w:ascii="標楷體" w:eastAsia="標楷體" w:hAnsi="標楷體" w:hint="eastAsia"/>
          <w:color w:val="000000"/>
        </w:rPr>
        <w:t>為</w:t>
      </w:r>
      <w:r w:rsidR="00C73079">
        <w:rPr>
          <w:rFonts w:ascii="標楷體" w:eastAsia="標楷體" w:hAnsi="標楷體" w:hint="eastAsia"/>
          <w:color w:val="000000"/>
        </w:rPr>
        <w:t>前瞻</w:t>
      </w:r>
      <w:r w:rsidR="00D845D0" w:rsidRPr="00D845D0">
        <w:rPr>
          <w:rFonts w:ascii="標楷體" w:eastAsia="標楷體" w:hAnsi="標楷體" w:hint="eastAsia"/>
          <w:color w:val="000000"/>
        </w:rPr>
        <w:t>世代</w:t>
      </w:r>
      <w:r w:rsidR="001C352E">
        <w:rPr>
          <w:rFonts w:ascii="標楷體" w:eastAsia="標楷體" w:hAnsi="標楷體" w:hint="eastAsia"/>
          <w:color w:val="000000"/>
        </w:rPr>
        <w:t>(</w:t>
      </w:r>
      <w:r w:rsidR="00C73079">
        <w:rPr>
          <w:rFonts w:ascii="標楷體" w:eastAsia="標楷體" w:hAnsi="標楷體"/>
          <w:color w:val="000000"/>
        </w:rPr>
        <w:t xml:space="preserve">prospective </w:t>
      </w:r>
      <w:r w:rsidR="001C352E">
        <w:rPr>
          <w:rFonts w:ascii="標楷體" w:eastAsia="標楷體" w:hAnsi="標楷體" w:hint="eastAsia"/>
          <w:color w:val="000000"/>
        </w:rPr>
        <w:t>cohort)</w:t>
      </w:r>
      <w:r w:rsidR="00D845D0" w:rsidRPr="00D845D0">
        <w:rPr>
          <w:rFonts w:ascii="標楷體" w:eastAsia="標楷體" w:hAnsi="標楷體" w:hint="eastAsia"/>
          <w:color w:val="000000"/>
        </w:rPr>
        <w:t>研究，</w:t>
      </w:r>
      <w:r w:rsidR="001C352E">
        <w:rPr>
          <w:rFonts w:ascii="標楷體" w:eastAsia="標楷體" w:hAnsi="標楷體" w:hint="eastAsia"/>
          <w:color w:val="000000"/>
        </w:rPr>
        <w:t>建立在2011</w:t>
      </w:r>
      <w:r w:rsidR="00C73079">
        <w:rPr>
          <w:rFonts w:ascii="標楷體" w:eastAsia="標楷體" w:hAnsi="標楷體" w:hint="eastAsia"/>
          <w:color w:val="000000"/>
        </w:rPr>
        <w:t>年7</w:t>
      </w:r>
      <w:r w:rsidR="001C352E">
        <w:rPr>
          <w:rFonts w:ascii="標楷體" w:eastAsia="標楷體" w:hAnsi="標楷體" w:hint="eastAsia"/>
          <w:color w:val="000000"/>
        </w:rPr>
        <w:t>月</w:t>
      </w:r>
      <w:r w:rsidR="00C73079">
        <w:rPr>
          <w:rFonts w:ascii="標楷體" w:eastAsia="標楷體" w:hAnsi="標楷體" w:hint="eastAsia"/>
          <w:color w:val="000000"/>
        </w:rPr>
        <w:t>起從義大醫院，羅東博愛醫院，以及台大雲林分院</w:t>
      </w:r>
      <w:r w:rsidR="001C352E">
        <w:rPr>
          <w:rFonts w:ascii="標楷體" w:eastAsia="標楷體" w:hAnsi="標楷體" w:hint="eastAsia"/>
          <w:color w:val="000000"/>
        </w:rPr>
        <w:t>收集的慢性B型肝炎病人臨床資料與血液檢體。</w:t>
      </w:r>
      <w:r w:rsidR="009C45A6">
        <w:rPr>
          <w:rFonts w:ascii="標楷體" w:eastAsia="標楷體" w:hAnsi="標楷體" w:hint="eastAsia"/>
          <w:color w:val="000000"/>
        </w:rPr>
        <w:t>參與本研究</w:t>
      </w:r>
      <w:r w:rsidR="009C45A6" w:rsidRPr="009C45A6">
        <w:rPr>
          <w:rFonts w:ascii="標楷體" w:eastAsia="標楷體" w:hAnsi="標楷體" w:hint="eastAsia"/>
          <w:color w:val="000000"/>
        </w:rPr>
        <w:t>必須符合下列條件</w:t>
      </w:r>
      <w:r w:rsidR="009C45A6">
        <w:rPr>
          <w:rFonts w:ascii="標楷體" w:eastAsia="標楷體" w:hAnsi="標楷體" w:hint="eastAsia"/>
          <w:color w:val="000000"/>
        </w:rPr>
        <w:t xml:space="preserve">: </w:t>
      </w:r>
      <w:r w:rsidR="009C45A6" w:rsidRPr="009C45A6">
        <w:rPr>
          <w:rFonts w:ascii="標楷體" w:eastAsia="標楷體" w:hAnsi="標楷體" w:hint="eastAsia"/>
          <w:color w:val="000000"/>
        </w:rPr>
        <w:t>年滿20歲</w:t>
      </w:r>
      <w:r w:rsidR="009C45A6">
        <w:rPr>
          <w:rFonts w:ascii="標楷體" w:eastAsia="標楷體" w:hAnsi="標楷體" w:hint="eastAsia"/>
          <w:color w:val="000000"/>
        </w:rPr>
        <w:t>，</w:t>
      </w:r>
      <w:r w:rsidR="009C45A6" w:rsidRPr="009C45A6">
        <w:rPr>
          <w:rFonts w:ascii="標楷體" w:eastAsia="標楷體" w:hAnsi="標楷體" w:hint="eastAsia"/>
          <w:color w:val="000000"/>
        </w:rPr>
        <w:t>表面抗原(HBsAg)血清陽性達６個月以上者</w:t>
      </w:r>
      <w:r w:rsidR="009C45A6">
        <w:rPr>
          <w:rFonts w:ascii="標楷體" w:eastAsia="標楷體" w:hAnsi="標楷體" w:hint="eastAsia"/>
          <w:color w:val="000000"/>
        </w:rPr>
        <w:t>，</w:t>
      </w:r>
      <w:r w:rsidR="009C45A6" w:rsidRPr="009C45A6">
        <w:rPr>
          <w:rFonts w:ascii="標楷體" w:eastAsia="標楷體" w:hAnsi="標楷體" w:hint="eastAsia"/>
          <w:color w:val="000000"/>
        </w:rPr>
        <w:t>服用口服類核苷</w:t>
      </w:r>
      <w:r w:rsidR="009C45A6" w:rsidRPr="009C45A6">
        <w:rPr>
          <w:rFonts w:ascii="標楷體" w:eastAsia="標楷體" w:hAnsi="標楷體"/>
          <w:color w:val="000000"/>
        </w:rPr>
        <w:t>(</w:t>
      </w:r>
      <w:r w:rsidR="009C45A6" w:rsidRPr="009C45A6">
        <w:rPr>
          <w:rFonts w:ascii="標楷體" w:eastAsia="標楷體" w:hAnsi="標楷體" w:hint="eastAsia"/>
          <w:color w:val="000000"/>
        </w:rPr>
        <w:t>酸</w:t>
      </w:r>
      <w:r w:rsidR="009C45A6" w:rsidRPr="009C45A6">
        <w:rPr>
          <w:rFonts w:ascii="標楷體" w:eastAsia="標楷體" w:hAnsi="標楷體"/>
          <w:color w:val="000000"/>
        </w:rPr>
        <w:t>)</w:t>
      </w:r>
      <w:r w:rsidR="009C45A6">
        <w:rPr>
          <w:rFonts w:ascii="標楷體" w:eastAsia="標楷體" w:hAnsi="標楷體" w:hint="eastAsia"/>
          <w:color w:val="000000"/>
        </w:rPr>
        <w:t>抗病毒藥物三年後</w:t>
      </w:r>
      <w:r w:rsidR="009C45A6" w:rsidRPr="009C45A6">
        <w:rPr>
          <w:rFonts w:ascii="標楷體" w:eastAsia="標楷體" w:hAnsi="標楷體" w:hint="eastAsia"/>
          <w:color w:val="000000"/>
        </w:rPr>
        <w:t>將停藥者</w:t>
      </w:r>
      <w:r w:rsidR="00782894">
        <w:rPr>
          <w:rFonts w:ascii="標楷體" w:eastAsia="標楷體" w:hAnsi="標楷體" w:hint="eastAsia"/>
          <w:color w:val="000000"/>
        </w:rPr>
        <w:t>，停藥時血清e抗原為陰性且血中已偵測不到病毒；患者不能</w:t>
      </w:r>
      <w:r w:rsidR="009C45A6" w:rsidRPr="009C45A6">
        <w:rPr>
          <w:rFonts w:ascii="標楷體" w:eastAsia="標楷體" w:hAnsi="標楷體" w:hint="eastAsia"/>
          <w:color w:val="000000"/>
        </w:rPr>
        <w:t>合併Ｃ型肝炎或人類免疫不全病毒(HIV)</w:t>
      </w:r>
      <w:r w:rsidR="00782894">
        <w:rPr>
          <w:rFonts w:ascii="標楷體" w:eastAsia="標楷體" w:hAnsi="標楷體" w:hint="eastAsia"/>
          <w:color w:val="000000"/>
        </w:rPr>
        <w:t>感染，已診斷任何</w:t>
      </w:r>
      <w:r w:rsidR="009C45A6" w:rsidRPr="009C45A6">
        <w:rPr>
          <w:rFonts w:ascii="標楷體" w:eastAsia="標楷體" w:hAnsi="標楷體" w:hint="eastAsia"/>
          <w:color w:val="000000"/>
        </w:rPr>
        <w:t>癌症(包括肝癌)</w:t>
      </w:r>
      <w:r w:rsidR="00782894">
        <w:rPr>
          <w:rFonts w:ascii="標楷體" w:eastAsia="標楷體" w:hAnsi="標楷體" w:hint="eastAsia"/>
          <w:color w:val="000000"/>
        </w:rPr>
        <w:t>，患有肝硬化，</w:t>
      </w:r>
      <w:r w:rsidR="009C45A6" w:rsidRPr="009C45A6">
        <w:rPr>
          <w:rFonts w:ascii="標楷體" w:eastAsia="標楷體" w:hAnsi="標楷體" w:hint="eastAsia"/>
          <w:color w:val="000000"/>
        </w:rPr>
        <w:t>曾有肝腦病變或胃食道靜脈瘤出血</w:t>
      </w:r>
      <w:r w:rsidR="00782894">
        <w:rPr>
          <w:rFonts w:ascii="標楷體" w:eastAsia="標楷體" w:hAnsi="標楷體" w:hint="eastAsia"/>
          <w:color w:val="000000"/>
        </w:rPr>
        <w:t>，器官移植，</w:t>
      </w:r>
      <w:r w:rsidR="009C45A6" w:rsidRPr="009C45A6">
        <w:rPr>
          <w:rFonts w:ascii="標楷體" w:eastAsia="標楷體" w:hAnsi="標楷體" w:hint="eastAsia"/>
          <w:color w:val="000000"/>
        </w:rPr>
        <w:t>曾使用干擾素抗病毒製劑超過一個月者</w:t>
      </w:r>
      <w:r w:rsidR="00782894">
        <w:rPr>
          <w:rFonts w:ascii="標楷體" w:eastAsia="標楷體" w:hAnsi="標楷體" w:hint="eastAsia"/>
          <w:color w:val="000000"/>
        </w:rPr>
        <w:t>，或者</w:t>
      </w:r>
      <w:r w:rsidR="009C45A6" w:rsidRPr="009C45A6">
        <w:rPr>
          <w:rFonts w:ascii="標楷體" w:eastAsia="標楷體" w:hAnsi="標楷體" w:hint="eastAsia"/>
          <w:color w:val="000000"/>
        </w:rPr>
        <w:t>在使用化療或免疫抑制劑者</w:t>
      </w:r>
      <w:r w:rsidR="00782894">
        <w:rPr>
          <w:rFonts w:ascii="標楷體" w:eastAsia="標楷體" w:hAnsi="標楷體" w:hint="eastAsia"/>
          <w:color w:val="000000"/>
        </w:rPr>
        <w:t>。</w:t>
      </w:r>
    </w:p>
    <w:p w:rsidR="00261B60" w:rsidRDefault="00C73079" w:rsidP="00C73079">
      <w:pPr>
        <w:jc w:val="both"/>
        <w:rPr>
          <w:rFonts w:ascii="標楷體" w:eastAsia="標楷體" w:hAnsi="標楷體"/>
          <w:color w:val="000000"/>
        </w:rPr>
      </w:pPr>
      <w:r>
        <w:rPr>
          <w:rFonts w:eastAsia="標楷體" w:hint="eastAsia"/>
        </w:rPr>
        <w:t xml:space="preserve">    </w:t>
      </w:r>
      <w:r w:rsidR="005F4B5A">
        <w:rPr>
          <w:rFonts w:eastAsia="標楷體" w:hint="eastAsia"/>
        </w:rPr>
        <w:t>我們將分析患者</w:t>
      </w:r>
      <w:r w:rsidR="00782894">
        <w:rPr>
          <w:rFonts w:eastAsia="標楷體" w:hint="eastAsia"/>
        </w:rPr>
        <w:t>血中核心相關抗原的濃度，並對應臨床後果</w:t>
      </w:r>
      <w:r w:rsidR="00782894">
        <w:rPr>
          <w:rFonts w:eastAsia="標楷體" w:hint="eastAsia"/>
        </w:rPr>
        <w:t xml:space="preserve"> (</w:t>
      </w:r>
      <w:r w:rsidR="005F4B5A">
        <w:rPr>
          <w:rFonts w:eastAsia="標楷體" w:hint="eastAsia"/>
        </w:rPr>
        <w:t>包括死亡，肝臟衰竭，</w:t>
      </w:r>
      <w:r w:rsidR="005F4B5A">
        <w:rPr>
          <w:rFonts w:eastAsia="標楷體" w:hint="eastAsia"/>
        </w:rPr>
        <w:t>B</w:t>
      </w:r>
      <w:r w:rsidR="00782894">
        <w:rPr>
          <w:rFonts w:eastAsia="標楷體" w:hint="eastAsia"/>
        </w:rPr>
        <w:t>型肝炎急性發作，臨床肝炎</w:t>
      </w:r>
      <w:r w:rsidR="00782894">
        <w:rPr>
          <w:rFonts w:eastAsia="標楷體" w:hint="eastAsia"/>
        </w:rPr>
        <w:t>)</w:t>
      </w:r>
      <w:r w:rsidR="00782894">
        <w:rPr>
          <w:rFonts w:eastAsia="標楷體" w:hint="eastAsia"/>
        </w:rPr>
        <w:t>，以探討是否可藉由核心抗原濃度預測病程變化。</w:t>
      </w:r>
    </w:p>
    <w:p w:rsidR="00261B60" w:rsidRPr="00A64745" w:rsidRDefault="00261B60" w:rsidP="00261B60">
      <w:pPr>
        <w:rPr>
          <w:rFonts w:ascii="標楷體" w:eastAsia="標楷體" w:hAnsi="標楷體"/>
          <w:color w:val="000000"/>
        </w:rPr>
      </w:pPr>
    </w:p>
    <w:p w:rsidR="00B07BAC" w:rsidRPr="00261B60" w:rsidRDefault="00B07BAC" w:rsidP="00261B60">
      <w:pPr>
        <w:rPr>
          <w:rFonts w:ascii="標楷體" w:eastAsia="標楷體" w:hAnsi="標楷體"/>
          <w:bCs/>
          <w:noProof/>
        </w:rPr>
      </w:pPr>
      <w:r w:rsidRPr="00261B60">
        <w:rPr>
          <w:rFonts w:ascii="標楷體" w:eastAsia="標楷體" w:hAnsi="標楷體" w:hint="eastAsia"/>
          <w:b/>
          <w:bCs/>
          <w:noProof/>
        </w:rPr>
        <w:t>關鍵詞:</w:t>
      </w:r>
      <w:r w:rsidR="008E62B2" w:rsidRPr="00261B60">
        <w:rPr>
          <w:rFonts w:ascii="標楷體" w:eastAsia="標楷體" w:hAnsi="標楷體" w:hint="eastAsia"/>
          <w:bCs/>
          <w:noProof/>
        </w:rPr>
        <w:t>慢性</w:t>
      </w:r>
      <w:r w:rsidR="00A64745">
        <w:rPr>
          <w:rFonts w:ascii="標楷體" w:eastAsia="標楷體" w:hAnsi="標楷體" w:hint="eastAsia"/>
          <w:bCs/>
          <w:noProof/>
        </w:rPr>
        <w:t>B</w:t>
      </w:r>
      <w:r w:rsidR="001B6C88">
        <w:rPr>
          <w:rFonts w:ascii="標楷體" w:eastAsia="標楷體" w:hAnsi="標楷體" w:hint="eastAsia"/>
          <w:bCs/>
          <w:noProof/>
        </w:rPr>
        <w:t>性</w:t>
      </w:r>
      <w:r w:rsidR="00782894">
        <w:rPr>
          <w:rFonts w:ascii="標楷體" w:eastAsia="標楷體" w:hAnsi="標楷體" w:hint="eastAsia"/>
          <w:bCs/>
          <w:noProof/>
        </w:rPr>
        <w:t>肝炎；類核苷酸藥物；B肝核心相關</w:t>
      </w:r>
      <w:r w:rsidR="005F4B5A">
        <w:rPr>
          <w:rFonts w:ascii="標楷體" w:eastAsia="標楷體" w:hAnsi="標楷體" w:hint="eastAsia"/>
          <w:bCs/>
          <w:noProof/>
        </w:rPr>
        <w:t>抗原</w:t>
      </w:r>
      <w:r w:rsidR="00782894">
        <w:rPr>
          <w:rFonts w:ascii="標楷體" w:eastAsia="標楷體" w:hAnsi="標楷體" w:hint="eastAsia"/>
          <w:bCs/>
          <w:noProof/>
        </w:rPr>
        <w:t>；世代研究</w:t>
      </w:r>
    </w:p>
    <w:p w:rsidR="00387823" w:rsidRPr="005F4B5A" w:rsidRDefault="00387823" w:rsidP="004E2477">
      <w:pPr>
        <w:widowControl/>
        <w:tabs>
          <w:tab w:val="left" w:pos="-28"/>
        </w:tabs>
        <w:kinsoku w:val="0"/>
        <w:jc w:val="both"/>
        <w:textAlignment w:val="bottom"/>
        <w:rPr>
          <w:rFonts w:ascii="標楷體" w:eastAsia="標楷體" w:hAnsi="標楷體"/>
          <w:b/>
          <w:color w:val="000000"/>
        </w:rPr>
        <w:sectPr w:rsidR="00387823" w:rsidRPr="005F4B5A">
          <w:pgSz w:w="11906" w:h="16838"/>
          <w:pgMar w:top="1440" w:right="1800" w:bottom="1440" w:left="1800" w:header="851" w:footer="992" w:gutter="0"/>
          <w:cols w:space="425"/>
          <w:docGrid w:type="lines" w:linePitch="360"/>
        </w:sectPr>
      </w:pPr>
    </w:p>
    <w:p w:rsidR="00F552D7" w:rsidRDefault="00F552D7" w:rsidP="00D12F75">
      <w:pPr>
        <w:widowControl/>
        <w:tabs>
          <w:tab w:val="left" w:pos="-28"/>
        </w:tabs>
        <w:kinsoku w:val="0"/>
        <w:spacing w:line="360" w:lineRule="auto"/>
        <w:jc w:val="both"/>
        <w:textAlignment w:val="bottom"/>
        <w:rPr>
          <w:rFonts w:ascii="標楷體" w:eastAsia="標楷體" w:hAnsi="標楷體"/>
          <w:b/>
          <w:color w:val="000000"/>
        </w:rPr>
      </w:pPr>
      <w:r>
        <w:rPr>
          <w:rFonts w:ascii="標楷體" w:eastAsia="標楷體" w:hAnsi="標楷體" w:hint="eastAsia"/>
          <w:b/>
          <w:color w:val="000000"/>
        </w:rPr>
        <w:t>研究計畫目的及背景說明</w:t>
      </w:r>
    </w:p>
    <w:p w:rsidR="004B58CF" w:rsidRPr="004B58CF" w:rsidRDefault="00CF6FC0" w:rsidP="004B58CF">
      <w:pPr>
        <w:spacing w:line="360" w:lineRule="auto"/>
        <w:jc w:val="both"/>
        <w:rPr>
          <w:color w:val="000000"/>
        </w:rPr>
      </w:pPr>
      <w:r>
        <w:rPr>
          <w:rFonts w:hint="eastAsia"/>
          <w:color w:val="000000"/>
        </w:rPr>
        <w:t xml:space="preserve">    </w:t>
      </w:r>
      <w:r w:rsidR="004B58CF" w:rsidRPr="004B58CF">
        <w:rPr>
          <w:color w:val="000000"/>
        </w:rPr>
        <w:t>Chronic infection with hepatitis B virus (HBV) is a major health problem worldwide, infecting approximately 350 million people globally. It is endemic in Asia, particularly in China and Taiwan where most of the patients were infected perinatally or in childhood. Chronic hepatitis B (CHB) is associated with serious morbidity and mortality in that severe complications including hepatic failure, liver cirrhosis, and hepatocellular carcinoma (HCC) may occur in 15~40 % of the infected patients during their lifetime. Although HBV generally is not cytopathic in itself, immune responses to chronic infection may lead to persistent hepatic necro-inflammation and over time result in fibrosis. The clinical outcome of CHB is the consequence of a complex interaction among viral, host, and environmental factors.1</w:t>
      </w:r>
    </w:p>
    <w:p w:rsidR="004B58CF" w:rsidRPr="004B58CF" w:rsidRDefault="004B58CF" w:rsidP="004B58CF">
      <w:pPr>
        <w:spacing w:line="360" w:lineRule="auto"/>
        <w:jc w:val="both"/>
        <w:rPr>
          <w:color w:val="000000"/>
        </w:rPr>
      </w:pPr>
      <w:r w:rsidRPr="004B58CF">
        <w:rPr>
          <w:color w:val="000000"/>
        </w:rPr>
        <w:t xml:space="preserve">    Nucleoside and nucleotide analogues (NAs) effectively inhibit DNA polymerase of hepatitis B virus (HBV) and potently suppress viral replication. Consistent evidence from randomized placebo-controlled trials has established the efficacy of NAs in inducing HBeAg seroconversion.2 However, the off-treatment durability of antiviral therapy with NA remains unsatisfactory. There has been a large body of evidence indicating that substantial viral replication may resume with recurrence of active hepatitis after discontinuation of NA, whether the patients are hepatitis e antigen (HBeAg) positive or negative.3-6 How to predict the off-therapy response in patients treated with NA, nonetheless, remains unknown.7-12 </w:t>
      </w:r>
    </w:p>
    <w:p w:rsidR="0043431E" w:rsidRDefault="004B58CF" w:rsidP="004B58CF">
      <w:pPr>
        <w:spacing w:line="360" w:lineRule="auto"/>
        <w:jc w:val="both"/>
        <w:rPr>
          <w:color w:val="000000"/>
        </w:rPr>
      </w:pPr>
      <w:r w:rsidRPr="004B58CF">
        <w:rPr>
          <w:color w:val="000000"/>
        </w:rPr>
        <w:t xml:space="preserve">    Recently, a new enzyme immunoassay was developed to detect another serological marker of another hepatitis B virus. This chemiluminescence enzyme immunoassay measures serum levels of hepatitis B core antigen (HBcAg), HBeAg and empty particle (p22). The monoclonal antibodies is able to recognize the common epitopes of these three proteins.13 Therefore, this assay actually quantifies hepatitis B core-related antigen (HBcrAg).14-15 </w:t>
      </w:r>
      <w:r w:rsidR="0043431E">
        <w:rPr>
          <w:rFonts w:hint="eastAsia"/>
          <w:color w:val="000000"/>
        </w:rPr>
        <w:t>We are now evaluating</w:t>
      </w:r>
      <w:r w:rsidRPr="004B58CF">
        <w:rPr>
          <w:color w:val="000000"/>
        </w:rPr>
        <w:t xml:space="preserve"> whether serum level of HBcrAg correlates the risk of relapse after discontinuation of NA therapy. </w:t>
      </w:r>
    </w:p>
    <w:p w:rsidR="006848D2" w:rsidRDefault="0043431E" w:rsidP="0043431E">
      <w:pPr>
        <w:spacing w:line="360" w:lineRule="auto"/>
        <w:ind w:firstLineChars="200" w:firstLine="480"/>
        <w:jc w:val="both"/>
        <w:rPr>
          <w:rFonts w:eastAsia="標楷體"/>
          <w:kern w:val="0"/>
        </w:rPr>
      </w:pPr>
      <w:r>
        <w:rPr>
          <w:color w:val="000000"/>
        </w:rPr>
        <w:t>In the present study, w</w:t>
      </w:r>
      <w:r w:rsidR="004B58CF" w:rsidRPr="004B58CF">
        <w:rPr>
          <w:color w:val="000000"/>
        </w:rPr>
        <w:t xml:space="preserve">e </w:t>
      </w:r>
      <w:r>
        <w:rPr>
          <w:color w:val="000000"/>
        </w:rPr>
        <w:t xml:space="preserve">will integrate all the risk factors identified by our and others research to develop a risk prediction model that can accurately predicts a safe strategy for NUC cessation in patients with CHB. </w:t>
      </w:r>
      <w:r w:rsidR="00F13BFF">
        <w:rPr>
          <w:rFonts w:eastAsia="標楷體"/>
          <w:kern w:val="0"/>
        </w:rPr>
        <w:t xml:space="preserve"> </w:t>
      </w:r>
    </w:p>
    <w:p w:rsidR="00F552D7" w:rsidRDefault="006848D2" w:rsidP="00D12F75">
      <w:pPr>
        <w:spacing w:line="360" w:lineRule="auto"/>
        <w:jc w:val="both"/>
        <w:rPr>
          <w:color w:val="000000"/>
        </w:rPr>
      </w:pPr>
      <w:r>
        <w:rPr>
          <w:rFonts w:eastAsia="標楷體"/>
          <w:kern w:val="0"/>
        </w:rPr>
        <w:t xml:space="preserve"> </w:t>
      </w:r>
    </w:p>
    <w:p w:rsidR="00F552D7" w:rsidRDefault="00F552D7" w:rsidP="00D12F75">
      <w:pPr>
        <w:widowControl/>
        <w:kinsoku w:val="0"/>
        <w:spacing w:line="360" w:lineRule="auto"/>
        <w:ind w:left="567" w:hanging="482"/>
        <w:jc w:val="both"/>
        <w:textAlignment w:val="bottom"/>
        <w:rPr>
          <w:rFonts w:ascii="標楷體" w:eastAsia="標楷體" w:hAnsi="標楷體"/>
          <w:b/>
          <w:color w:val="000000"/>
        </w:rPr>
      </w:pPr>
      <w:r>
        <w:rPr>
          <w:rFonts w:ascii="標楷體" w:eastAsia="標楷體" w:hAnsi="標楷體" w:hint="eastAsia"/>
          <w:b/>
          <w:color w:val="000000"/>
        </w:rPr>
        <w:t>研究方法及步驟：</w:t>
      </w:r>
    </w:p>
    <w:p w:rsidR="008C28DC" w:rsidRPr="008C28DC" w:rsidRDefault="008C28DC" w:rsidP="00D12F75">
      <w:pPr>
        <w:widowControl/>
        <w:kinsoku w:val="0"/>
        <w:spacing w:line="360" w:lineRule="auto"/>
        <w:ind w:left="567" w:hanging="482"/>
        <w:jc w:val="both"/>
        <w:textAlignment w:val="bottom"/>
        <w:rPr>
          <w:rFonts w:eastAsia="標楷體"/>
          <w:b/>
          <w:i/>
          <w:color w:val="000000"/>
        </w:rPr>
      </w:pPr>
      <w:r w:rsidRPr="008C28DC">
        <w:rPr>
          <w:rFonts w:eastAsia="標楷體"/>
          <w:b/>
          <w:i/>
          <w:color w:val="000000"/>
        </w:rPr>
        <w:t xml:space="preserve">Study setting and patient eligibility </w:t>
      </w:r>
    </w:p>
    <w:p w:rsidR="00D12F75" w:rsidRDefault="004B58CF" w:rsidP="00D12F75">
      <w:pPr>
        <w:autoSpaceDE w:val="0"/>
        <w:autoSpaceDN w:val="0"/>
        <w:adjustRightInd w:val="0"/>
        <w:spacing w:line="360" w:lineRule="auto"/>
        <w:ind w:firstLineChars="200" w:firstLine="480"/>
        <w:jc w:val="both"/>
      </w:pPr>
      <w:r w:rsidRPr="008C28DC">
        <w:t>This study is based on analysis of serum samples collected from participants in a prospective</w:t>
      </w:r>
      <w:r w:rsidRPr="004B58CF">
        <w:t xml:space="preserve"> study entitled “Can serum level of hepatitis B surface antigen predict off-therapy outcomes in chronic hepatitis B patients treated with nucleos(t)ide analogue” which has been approved by the IRB of E-Da Hospital (EMRP100-049). Participants who co</w:t>
      </w:r>
      <w:r>
        <w:rPr>
          <w:rFonts w:hint="eastAsia"/>
        </w:rPr>
        <w:t>n</w:t>
      </w:r>
      <w:r>
        <w:t>sent</w:t>
      </w:r>
      <w:r w:rsidRPr="004B58CF">
        <w:t xml:space="preserve"> to donate their residual blood samples for further hepatitis research (as specified on the written informed consent form of EMRP100-049) are screen</w:t>
      </w:r>
      <w:r>
        <w:t>e</w:t>
      </w:r>
      <w:r w:rsidRPr="004B58CF">
        <w:t>d for eligibility for the current s</w:t>
      </w:r>
      <w:r>
        <w:t>t</w:t>
      </w:r>
      <w:r w:rsidRPr="004B58CF">
        <w:t>udy project.</w:t>
      </w:r>
      <w:r w:rsidR="00D12F75">
        <w:t xml:space="preserve"> </w:t>
      </w:r>
    </w:p>
    <w:p w:rsidR="008C28DC" w:rsidRPr="008C28DC" w:rsidRDefault="008C28DC" w:rsidP="008C28DC">
      <w:pPr>
        <w:autoSpaceDE w:val="0"/>
        <w:autoSpaceDN w:val="0"/>
        <w:adjustRightInd w:val="0"/>
        <w:spacing w:line="360" w:lineRule="auto"/>
        <w:jc w:val="both"/>
        <w:rPr>
          <w:b/>
          <w:i/>
        </w:rPr>
      </w:pPr>
      <w:r w:rsidRPr="008C28DC">
        <w:rPr>
          <w:b/>
          <w:i/>
        </w:rPr>
        <w:t>Antiviral treatment and off-therapy follow-up</w:t>
      </w:r>
    </w:p>
    <w:p w:rsidR="004B58CF" w:rsidRDefault="004B58CF" w:rsidP="004B58CF">
      <w:pPr>
        <w:autoSpaceDE w:val="0"/>
        <w:autoSpaceDN w:val="0"/>
        <w:adjustRightInd w:val="0"/>
        <w:spacing w:line="360" w:lineRule="auto"/>
        <w:ind w:firstLineChars="200" w:firstLine="480"/>
        <w:jc w:val="both"/>
      </w:pPr>
      <w:r>
        <w:t xml:space="preserve">From 2011 August, all adult patients with CHB who receive NA will be screened for eligibility. CHB patients treated with NA regimen in this hospital are followed up with the frequency of 3 months. At each follow-up visit, in addition to physical evaluation, serum alanine aminotransferase (ALT), serological and virological markers are measured. Serological markers are determined by enzyme-linked immunoassay and HBV DNA by quantitative polymerase chain reaction method. </w:t>
      </w:r>
    </w:p>
    <w:p w:rsidR="000B1A12" w:rsidRDefault="004B58CF" w:rsidP="008C28DC">
      <w:pPr>
        <w:autoSpaceDE w:val="0"/>
        <w:autoSpaceDN w:val="0"/>
        <w:adjustRightInd w:val="0"/>
        <w:spacing w:line="360" w:lineRule="auto"/>
        <w:ind w:firstLineChars="200" w:firstLine="480"/>
        <w:jc w:val="both"/>
      </w:pPr>
      <w:r>
        <w:t>Serum levels of HBsAg and viral DNA are measured in participants at the time point of discontinuing NA therapy. After discontinuation of NA therapy, biochemical, quantiity of anti-HBc along with conventional serological (HBsAg, HBeAg, anti-HBs, anti-HBe) markers and HBV DNA will be observed every 3 months until endpoints occurred or the study ended. Recurrence of active hepatitis was defined as HBV DNA of more than 2,000 IU/mL in addition to serum ALT of more than 80 IU/L (2 folds of upper norm</w:t>
      </w:r>
      <w:r w:rsidR="008C28DC">
        <w:t>al range). Virological relapse was</w:t>
      </w:r>
      <w:r>
        <w:t xml:space="preserve"> HBV DNA &gt; 2,000IU/mL with or without accompanying elevation of serum ALT.</w:t>
      </w:r>
    </w:p>
    <w:p w:rsidR="008C28DC" w:rsidRPr="008C28DC" w:rsidRDefault="008C28DC" w:rsidP="008C28DC">
      <w:pPr>
        <w:autoSpaceDE w:val="0"/>
        <w:autoSpaceDN w:val="0"/>
        <w:adjustRightInd w:val="0"/>
        <w:spacing w:line="360" w:lineRule="auto"/>
        <w:jc w:val="both"/>
        <w:rPr>
          <w:b/>
          <w:i/>
          <w:lang w:val="en-GB"/>
        </w:rPr>
      </w:pPr>
      <w:r w:rsidRPr="008C28DC">
        <w:rPr>
          <w:b/>
          <w:i/>
          <w:lang w:val="en-GB"/>
        </w:rPr>
        <w:t>Statistical analysis</w:t>
      </w:r>
    </w:p>
    <w:p w:rsidR="00B07BAC" w:rsidRPr="000B1A12" w:rsidRDefault="00D12F75" w:rsidP="00D12F75">
      <w:pPr>
        <w:autoSpaceDE w:val="0"/>
        <w:autoSpaceDN w:val="0"/>
        <w:adjustRightInd w:val="0"/>
        <w:spacing w:line="360" w:lineRule="auto"/>
        <w:ind w:firstLineChars="200" w:firstLine="480"/>
        <w:jc w:val="both"/>
        <w:rPr>
          <w:lang w:val="en-GB"/>
        </w:rPr>
      </w:pPr>
      <w:r w:rsidRPr="00D12F75">
        <w:rPr>
          <w:color w:val="000000"/>
          <w:szCs w:val="22"/>
          <w:lang w:val="en-GB"/>
        </w:rPr>
        <w:t>Continuous variables are expressed with median and interquartile range (IQR) and analyzed by Wilcoxon rank sum test, whereas categorical variables expressed with proportion and examined by Fi</w:t>
      </w:r>
      <w:r>
        <w:rPr>
          <w:color w:val="000000"/>
          <w:szCs w:val="22"/>
          <w:lang w:val="en-GB"/>
        </w:rPr>
        <w:t>sher’s exact test. Patients are classified according to whether they use older or newer generation of NAs</w:t>
      </w:r>
      <w:r w:rsidRPr="00D12F75">
        <w:rPr>
          <w:color w:val="000000"/>
          <w:szCs w:val="22"/>
          <w:lang w:val="en-GB"/>
        </w:rPr>
        <w:t xml:space="preserve">. </w:t>
      </w:r>
      <w:r w:rsidR="009A4899">
        <w:rPr>
          <w:color w:val="000000"/>
          <w:szCs w:val="22"/>
          <w:lang w:val="en-GB"/>
        </w:rPr>
        <w:t xml:space="preserve">Those who mixed different NAs are excluded from analysis. </w:t>
      </w:r>
      <w:r w:rsidRPr="00D12F75">
        <w:rPr>
          <w:color w:val="000000"/>
          <w:szCs w:val="22"/>
          <w:lang w:val="en-GB"/>
        </w:rPr>
        <w:t xml:space="preserve">Multivariate logistic regression analysis </w:t>
      </w:r>
      <w:r>
        <w:rPr>
          <w:color w:val="000000"/>
          <w:szCs w:val="22"/>
          <w:lang w:val="en-GB"/>
        </w:rPr>
        <w:t>for outcomes will be</w:t>
      </w:r>
      <w:r w:rsidRPr="00D12F75">
        <w:rPr>
          <w:color w:val="000000"/>
          <w:szCs w:val="22"/>
          <w:lang w:val="en-GB"/>
        </w:rPr>
        <w:t xml:space="preserve"> performed to adjust for potential confounding factors that included underlying comorbidity, drinking habit, choices of antiviral therapy, and the baseline</w:t>
      </w:r>
      <w:r>
        <w:rPr>
          <w:color w:val="000000"/>
          <w:szCs w:val="22"/>
          <w:lang w:val="en-GB"/>
        </w:rPr>
        <w:t xml:space="preserve"> viral load (HBV DNA). Hazard ratio</w:t>
      </w:r>
      <w:r w:rsidRPr="00D12F75">
        <w:rPr>
          <w:color w:val="000000"/>
          <w:szCs w:val="22"/>
          <w:lang w:val="en-GB"/>
        </w:rPr>
        <w:t xml:space="preserve">s </w:t>
      </w:r>
      <w:r>
        <w:rPr>
          <w:color w:val="000000"/>
          <w:szCs w:val="22"/>
          <w:lang w:val="en-GB"/>
        </w:rPr>
        <w:t xml:space="preserve">are </w:t>
      </w:r>
      <w:r w:rsidRPr="00D12F75">
        <w:rPr>
          <w:color w:val="000000"/>
          <w:szCs w:val="22"/>
          <w:lang w:val="en-GB"/>
        </w:rPr>
        <w:t>computed with an estimation of 95% confidence interva</w:t>
      </w:r>
      <w:r>
        <w:rPr>
          <w:color w:val="000000"/>
          <w:szCs w:val="22"/>
          <w:lang w:val="en-GB"/>
        </w:rPr>
        <w:t>l (CI). Statistical analyses ar</w:t>
      </w:r>
      <w:r w:rsidRPr="00D12F75">
        <w:rPr>
          <w:color w:val="000000"/>
          <w:szCs w:val="22"/>
          <w:lang w:val="en-GB"/>
        </w:rPr>
        <w:t>e conducted using commercially available software (Stata, version 9.1; Stata Corp, College</w:t>
      </w:r>
      <w:r>
        <w:rPr>
          <w:color w:val="000000"/>
          <w:szCs w:val="22"/>
          <w:lang w:val="en-GB"/>
        </w:rPr>
        <w:t xml:space="preserve"> Station, TX, USA). All tests a</w:t>
      </w:r>
      <w:r w:rsidRPr="00D12F75">
        <w:rPr>
          <w:color w:val="000000"/>
          <w:szCs w:val="22"/>
          <w:lang w:val="en-GB"/>
        </w:rPr>
        <w:t>re two-sided with significance set at p value less than 0.05</w:t>
      </w:r>
      <w:r w:rsidR="00B33CC1" w:rsidRPr="00B33CC1">
        <w:rPr>
          <w:color w:val="000000"/>
          <w:szCs w:val="22"/>
          <w:lang w:val="en-GB"/>
        </w:rPr>
        <w:t xml:space="preserve">  </w:t>
      </w:r>
    </w:p>
    <w:p w:rsidR="00B33CC1" w:rsidRPr="00D500D6" w:rsidRDefault="00B33CC1" w:rsidP="00D12F75">
      <w:pPr>
        <w:spacing w:line="360" w:lineRule="auto"/>
        <w:jc w:val="both"/>
        <w:rPr>
          <w:rFonts w:ascii="標楷體" w:eastAsia="標楷體"/>
          <w:sz w:val="22"/>
          <w:lang w:val="en-GB"/>
        </w:rPr>
      </w:pPr>
    </w:p>
    <w:p w:rsidR="000B1A12" w:rsidRDefault="00F552D7" w:rsidP="00D12F75">
      <w:pPr>
        <w:spacing w:line="360" w:lineRule="auto"/>
        <w:jc w:val="both"/>
        <w:rPr>
          <w:b/>
          <w:bCs/>
          <w:caps/>
          <w:color w:val="000000"/>
          <w:sz w:val="20"/>
        </w:rPr>
      </w:pPr>
      <w:r w:rsidRPr="00D500D6">
        <w:rPr>
          <w:rFonts w:hint="eastAsia"/>
          <w:b/>
          <w:bCs/>
          <w:caps/>
          <w:color w:val="000000"/>
          <w:szCs w:val="32"/>
        </w:rPr>
        <w:t xml:space="preserve">References: </w:t>
      </w:r>
    </w:p>
    <w:p w:rsidR="008C28DC" w:rsidRPr="008C28DC" w:rsidRDefault="008C28DC" w:rsidP="008C28DC">
      <w:pPr>
        <w:numPr>
          <w:ilvl w:val="0"/>
          <w:numId w:val="3"/>
        </w:numPr>
        <w:suppressAutoHyphens/>
        <w:jc w:val="both"/>
        <w:rPr>
          <w:rFonts w:eastAsia="標楷體"/>
          <w:noProof/>
          <w:kern w:val="1"/>
          <w:lang w:eastAsia="ar-SA"/>
        </w:rPr>
      </w:pPr>
      <w:r w:rsidRPr="008C28DC">
        <w:rPr>
          <w:rFonts w:eastAsia="標楷體"/>
          <w:noProof/>
          <w:kern w:val="1"/>
          <w:lang w:eastAsia="ar-SA"/>
        </w:rPr>
        <w:t xml:space="preserve">Liaw YF, </w:t>
      </w:r>
      <w:smartTag w:uri="urn:schemas-microsoft-com:office:smarttags" w:element="PersonName">
        <w:smartTagPr>
          <w:attr w:name="ProductID" w:val="Chu CM. Hepatitis"/>
        </w:smartTagPr>
        <w:r w:rsidRPr="008C28DC">
          <w:rPr>
            <w:rFonts w:eastAsia="標楷體"/>
            <w:noProof/>
            <w:kern w:val="1"/>
            <w:lang w:eastAsia="ar-SA"/>
          </w:rPr>
          <w:t>Chu CM. Hepatitis</w:t>
        </w:r>
      </w:smartTag>
      <w:r w:rsidRPr="008C28DC">
        <w:rPr>
          <w:rFonts w:eastAsia="標楷體"/>
          <w:noProof/>
          <w:kern w:val="1"/>
          <w:lang w:eastAsia="ar-SA"/>
        </w:rPr>
        <w:t xml:space="preserve"> B virus infection. </w:t>
      </w:r>
      <w:r w:rsidRPr="008C28DC">
        <w:rPr>
          <w:rFonts w:eastAsia="標楷體"/>
          <w:i/>
          <w:noProof/>
          <w:kern w:val="1"/>
          <w:lang w:eastAsia="ar-SA"/>
        </w:rPr>
        <w:t xml:space="preserve">Lancet. </w:t>
      </w:r>
      <w:r w:rsidRPr="008C28DC">
        <w:rPr>
          <w:rFonts w:eastAsia="標楷體"/>
          <w:noProof/>
          <w:kern w:val="1"/>
          <w:lang w:eastAsia="ar-SA"/>
        </w:rPr>
        <w:t>Feb 14 2009;373(9663):582-592.</w:t>
      </w:r>
    </w:p>
    <w:p w:rsidR="008C28DC" w:rsidRPr="008C28DC" w:rsidRDefault="008C28DC" w:rsidP="008C28DC">
      <w:pPr>
        <w:numPr>
          <w:ilvl w:val="0"/>
          <w:numId w:val="3"/>
        </w:numPr>
        <w:suppressAutoHyphens/>
        <w:jc w:val="both"/>
        <w:rPr>
          <w:rFonts w:eastAsia="標楷體"/>
          <w:noProof/>
          <w:kern w:val="1"/>
          <w:lang w:eastAsia="ar-SA"/>
        </w:rPr>
      </w:pPr>
      <w:r w:rsidRPr="008C28DC">
        <w:rPr>
          <w:rFonts w:eastAsia="標楷體"/>
          <w:noProof/>
          <w:kern w:val="1"/>
          <w:lang w:eastAsia="ar-SA"/>
        </w:rPr>
        <w:t xml:space="preserve">Lok AS, McMahon BJ. Chronic hepatitis B: update 2009. </w:t>
      </w:r>
      <w:r w:rsidRPr="008C28DC">
        <w:rPr>
          <w:rFonts w:eastAsia="標楷體"/>
          <w:i/>
          <w:noProof/>
          <w:kern w:val="1"/>
          <w:lang w:eastAsia="ar-SA"/>
        </w:rPr>
        <w:t xml:space="preserve">Hepatology. </w:t>
      </w:r>
      <w:r w:rsidRPr="008C28DC">
        <w:rPr>
          <w:rFonts w:eastAsia="標楷體"/>
          <w:noProof/>
          <w:kern w:val="1"/>
          <w:lang w:eastAsia="ar-SA"/>
        </w:rPr>
        <w:t>Sep 2009;50(3):661-662.</w:t>
      </w:r>
    </w:p>
    <w:p w:rsidR="008C28DC" w:rsidRPr="008C28DC" w:rsidRDefault="008C28DC" w:rsidP="008C28DC">
      <w:pPr>
        <w:numPr>
          <w:ilvl w:val="0"/>
          <w:numId w:val="3"/>
        </w:numPr>
        <w:suppressAutoHyphens/>
        <w:jc w:val="both"/>
        <w:rPr>
          <w:rFonts w:eastAsia="標楷體"/>
          <w:noProof/>
          <w:kern w:val="1"/>
          <w:lang w:eastAsia="ar-SA"/>
        </w:rPr>
      </w:pPr>
      <w:r w:rsidRPr="008C28DC">
        <w:rPr>
          <w:rFonts w:eastAsia="標楷體"/>
          <w:noProof/>
          <w:kern w:val="1"/>
          <w:lang w:eastAsia="ar-SA"/>
        </w:rPr>
        <w:t xml:space="preserve">Song BC, Suh DJ, Lee HC, Chung YH, Lee YS. Hepatitis B e antigen seroconversion after lamivudine therapy is not durable in patients with chronic hepatitis B in Korea. </w:t>
      </w:r>
      <w:r w:rsidRPr="008C28DC">
        <w:rPr>
          <w:rFonts w:eastAsia="標楷體"/>
          <w:i/>
          <w:noProof/>
          <w:kern w:val="1"/>
          <w:lang w:eastAsia="ar-SA"/>
        </w:rPr>
        <w:t xml:space="preserve">Hepatology. </w:t>
      </w:r>
      <w:r w:rsidRPr="008C28DC">
        <w:rPr>
          <w:rFonts w:eastAsia="標楷體"/>
          <w:noProof/>
          <w:kern w:val="1"/>
          <w:lang w:eastAsia="ar-SA"/>
        </w:rPr>
        <w:t>Oct 2000;32(</w:t>
      </w:r>
      <w:smartTag w:uri="urn:schemas-microsoft-com:office:smarttags" w:element="chmetcnv">
        <w:smartTagPr>
          <w:attr w:name="UnitName" w:val="pt"/>
          <w:attr w:name="SourceValue" w:val="4"/>
          <w:attr w:name="HasSpace" w:val="True"/>
          <w:attr w:name="Negative" w:val="False"/>
          <w:attr w:name="NumberType" w:val="1"/>
          <w:attr w:name="TCSC" w:val="0"/>
        </w:smartTagPr>
        <w:r w:rsidRPr="008C28DC">
          <w:rPr>
            <w:rFonts w:eastAsia="標楷體"/>
            <w:noProof/>
            <w:kern w:val="1"/>
            <w:lang w:eastAsia="ar-SA"/>
          </w:rPr>
          <w:t>4 Pt</w:t>
        </w:r>
      </w:smartTag>
      <w:r w:rsidRPr="008C28DC">
        <w:rPr>
          <w:rFonts w:eastAsia="標楷體"/>
          <w:noProof/>
          <w:kern w:val="1"/>
          <w:lang w:eastAsia="ar-SA"/>
        </w:rPr>
        <w:t xml:space="preserve"> 1):803-806.</w:t>
      </w:r>
    </w:p>
    <w:p w:rsidR="008C28DC" w:rsidRPr="008C28DC" w:rsidRDefault="008C28DC" w:rsidP="008C28DC">
      <w:pPr>
        <w:numPr>
          <w:ilvl w:val="0"/>
          <w:numId w:val="3"/>
        </w:numPr>
        <w:suppressAutoHyphens/>
        <w:jc w:val="both"/>
        <w:rPr>
          <w:rFonts w:eastAsia="標楷體"/>
          <w:noProof/>
          <w:kern w:val="1"/>
          <w:lang w:eastAsia="ar-SA"/>
        </w:rPr>
      </w:pPr>
      <w:r w:rsidRPr="008C28DC">
        <w:rPr>
          <w:rFonts w:eastAsia="標楷體"/>
          <w:noProof/>
          <w:kern w:val="1"/>
          <w:lang w:eastAsia="ar-SA"/>
        </w:rPr>
        <w:t>Hadziyannis SJ, Sevastianos V, Rapti I, Vassilopoulos D, Hadziyannis E.</w:t>
      </w:r>
      <w:r w:rsidRPr="008C28DC">
        <w:rPr>
          <w:rFonts w:eastAsia="標楷體" w:hint="cs"/>
          <w:noProof/>
          <w:kern w:val="1"/>
          <w:lang w:eastAsia="ar-SA"/>
        </w:rPr>
        <w:t xml:space="preserve"> </w:t>
      </w:r>
      <w:r w:rsidRPr="008C28DC">
        <w:rPr>
          <w:rFonts w:eastAsia="標楷體"/>
          <w:noProof/>
          <w:kern w:val="1"/>
          <w:lang w:eastAsia="ar-SA"/>
        </w:rPr>
        <w:t>Sustained responses and loss of HBsAg in HBeAg-negative patients with chronic</w:t>
      </w:r>
      <w:r w:rsidRPr="008C28DC">
        <w:rPr>
          <w:rFonts w:eastAsia="標楷體" w:hint="cs"/>
          <w:noProof/>
          <w:kern w:val="1"/>
          <w:lang w:eastAsia="ar-SA"/>
        </w:rPr>
        <w:t xml:space="preserve"> </w:t>
      </w:r>
      <w:r w:rsidRPr="008C28DC">
        <w:rPr>
          <w:rFonts w:eastAsia="標楷體"/>
          <w:noProof/>
          <w:kern w:val="1"/>
          <w:lang w:eastAsia="ar-SA"/>
        </w:rPr>
        <w:t>hepatitis B who stop long-term treatment with adefovir. Gastroenterology. 2012</w:t>
      </w:r>
      <w:r w:rsidRPr="008C28DC">
        <w:rPr>
          <w:rFonts w:eastAsia="標楷體" w:hint="cs"/>
          <w:noProof/>
          <w:kern w:val="1"/>
          <w:lang w:eastAsia="ar-SA"/>
        </w:rPr>
        <w:t xml:space="preserve"> </w:t>
      </w:r>
      <w:r w:rsidRPr="008C28DC">
        <w:rPr>
          <w:rFonts w:eastAsia="標楷體"/>
          <w:noProof/>
          <w:kern w:val="1"/>
          <w:lang w:eastAsia="ar-SA"/>
        </w:rPr>
        <w:t>Sep;143(3):629-36.e1</w:t>
      </w:r>
    </w:p>
    <w:p w:rsidR="008C28DC" w:rsidRPr="008C28DC" w:rsidRDefault="008C28DC" w:rsidP="008C28DC">
      <w:pPr>
        <w:numPr>
          <w:ilvl w:val="0"/>
          <w:numId w:val="3"/>
        </w:numPr>
        <w:suppressAutoHyphens/>
        <w:jc w:val="both"/>
        <w:rPr>
          <w:rFonts w:eastAsia="標楷體"/>
          <w:noProof/>
          <w:kern w:val="1"/>
          <w:lang w:eastAsia="ar-SA"/>
        </w:rPr>
      </w:pPr>
      <w:r w:rsidRPr="008C28DC">
        <w:rPr>
          <w:rFonts w:eastAsia="標楷體"/>
          <w:noProof/>
          <w:kern w:val="1"/>
          <w:lang w:eastAsia="ar-SA"/>
        </w:rPr>
        <w:t>Jeng WJ, Sheen IS, Chen YC, Hsu CW, Chien RN, Chu CM, Liaw YF. Off-therapy</w:t>
      </w:r>
      <w:r w:rsidRPr="008C28DC">
        <w:rPr>
          <w:rFonts w:eastAsia="標楷體" w:hint="cs"/>
          <w:noProof/>
          <w:kern w:val="1"/>
          <w:lang w:eastAsia="ar-SA"/>
        </w:rPr>
        <w:t xml:space="preserve"> </w:t>
      </w:r>
      <w:r w:rsidRPr="008C28DC">
        <w:rPr>
          <w:rFonts w:eastAsia="標楷體"/>
          <w:noProof/>
          <w:kern w:val="1"/>
          <w:lang w:eastAsia="ar-SA"/>
        </w:rPr>
        <w:t>durability of response to entecavir therapy in hepatitis B e antigen-negative</w:t>
      </w:r>
      <w:r w:rsidRPr="008C28DC">
        <w:rPr>
          <w:rFonts w:eastAsia="標楷體" w:hint="cs"/>
          <w:noProof/>
          <w:kern w:val="1"/>
          <w:lang w:eastAsia="ar-SA"/>
        </w:rPr>
        <w:t xml:space="preserve"> </w:t>
      </w:r>
      <w:r w:rsidRPr="008C28DC">
        <w:rPr>
          <w:rFonts w:eastAsia="標楷體"/>
          <w:noProof/>
          <w:kern w:val="1"/>
          <w:lang w:eastAsia="ar-SA"/>
        </w:rPr>
        <w:t>chronic hepatitis B patients. Hepatology. 2013 Dec;58(6):1888-96.</w:t>
      </w:r>
    </w:p>
    <w:p w:rsidR="008C28DC" w:rsidRPr="008C28DC" w:rsidRDefault="008C28DC" w:rsidP="008C28DC">
      <w:pPr>
        <w:numPr>
          <w:ilvl w:val="0"/>
          <w:numId w:val="3"/>
        </w:numPr>
        <w:suppressAutoHyphens/>
        <w:jc w:val="both"/>
        <w:rPr>
          <w:rFonts w:eastAsia="標楷體"/>
          <w:noProof/>
          <w:kern w:val="1"/>
          <w:lang w:eastAsia="ar-SA"/>
        </w:rPr>
      </w:pPr>
      <w:r w:rsidRPr="008C28DC">
        <w:rPr>
          <w:rFonts w:eastAsia="標楷體"/>
          <w:noProof/>
          <w:kern w:val="1"/>
          <w:lang w:eastAsia="ar-SA"/>
        </w:rPr>
        <w:t>Seto WK, Hui AJ, Wong VW, Wong GL, Liu KS, Lai CL, Yuen MF, Chan HL. Treatment</w:t>
      </w:r>
      <w:r w:rsidRPr="008C28DC">
        <w:rPr>
          <w:rFonts w:eastAsia="標楷體" w:hint="cs"/>
          <w:noProof/>
          <w:kern w:val="1"/>
          <w:lang w:eastAsia="ar-SA"/>
        </w:rPr>
        <w:t xml:space="preserve"> </w:t>
      </w:r>
      <w:r w:rsidRPr="008C28DC">
        <w:rPr>
          <w:rFonts w:eastAsia="標楷體"/>
          <w:noProof/>
          <w:kern w:val="1"/>
          <w:lang w:eastAsia="ar-SA"/>
        </w:rPr>
        <w:t>cessation of entecavir in Asian patients with hepatitis B e antigen negative</w:t>
      </w:r>
      <w:r w:rsidRPr="008C28DC">
        <w:rPr>
          <w:rFonts w:eastAsia="標楷體" w:hint="cs"/>
          <w:noProof/>
          <w:kern w:val="1"/>
          <w:lang w:eastAsia="ar-SA"/>
        </w:rPr>
        <w:t xml:space="preserve"> </w:t>
      </w:r>
      <w:r w:rsidRPr="008C28DC">
        <w:rPr>
          <w:rFonts w:eastAsia="標楷體"/>
          <w:noProof/>
          <w:kern w:val="1"/>
          <w:lang w:eastAsia="ar-SA"/>
        </w:rPr>
        <w:t>chronic hepatitis B: a multicentre prospective study. Gut. 2015 Apr;64(4):667-72</w:t>
      </w:r>
    </w:p>
    <w:p w:rsidR="008C28DC" w:rsidRPr="008C28DC" w:rsidRDefault="008C28DC" w:rsidP="008C28DC">
      <w:pPr>
        <w:numPr>
          <w:ilvl w:val="0"/>
          <w:numId w:val="3"/>
        </w:numPr>
        <w:suppressAutoHyphens/>
        <w:jc w:val="both"/>
        <w:rPr>
          <w:rFonts w:eastAsia="標楷體"/>
          <w:noProof/>
          <w:kern w:val="1"/>
          <w:lang w:eastAsia="ar-SA"/>
        </w:rPr>
      </w:pPr>
      <w:r w:rsidRPr="008C28DC">
        <w:rPr>
          <w:rFonts w:eastAsia="標楷體"/>
          <w:noProof/>
          <w:kern w:val="1"/>
          <w:lang w:eastAsia="ar-SA"/>
        </w:rPr>
        <w:t>Rijckborst V, Hansen BE, Cakaloglu Y, Ferenci P, Tabak F, Akdogan M, Simon K, Akarca US, Flisiak R, Verhey E, Van Vuuren AJ, Boucher CA, ter Borg MJ, Janssen HL. Early on-treatment prediction of response to peginterferon alfa</w:t>
      </w:r>
      <w:smartTag w:uri="urn:schemas-microsoft-com:office:smarttags" w:element="chmetcnv">
        <w:smartTagPr>
          <w:attr w:name="UnitName" w:val="a"/>
          <w:attr w:name="SourceValue" w:val="2"/>
          <w:attr w:name="HasSpace" w:val="False"/>
          <w:attr w:name="Negative" w:val="True"/>
          <w:attr w:name="NumberType" w:val="1"/>
          <w:attr w:name="TCSC" w:val="0"/>
        </w:smartTagPr>
        <w:r w:rsidRPr="008C28DC">
          <w:rPr>
            <w:rFonts w:eastAsia="標楷體"/>
            <w:noProof/>
            <w:kern w:val="1"/>
            <w:lang w:eastAsia="ar-SA"/>
          </w:rPr>
          <w:t>-2a</w:t>
        </w:r>
      </w:smartTag>
      <w:r w:rsidRPr="008C28DC">
        <w:rPr>
          <w:rFonts w:eastAsia="標楷體"/>
          <w:noProof/>
          <w:kern w:val="1"/>
          <w:lang w:eastAsia="ar-SA"/>
        </w:rPr>
        <w:t xml:space="preserve"> for HBeAg-negative chronic hepatitis B using HBsAg and HBV DNA levels. </w:t>
      </w:r>
      <w:r w:rsidRPr="008C28DC">
        <w:rPr>
          <w:rFonts w:eastAsia="標楷體"/>
          <w:i/>
          <w:noProof/>
          <w:kern w:val="1"/>
          <w:lang w:eastAsia="ar-SA"/>
        </w:rPr>
        <w:t xml:space="preserve">Hepatology </w:t>
      </w:r>
      <w:r w:rsidRPr="008C28DC">
        <w:rPr>
          <w:rFonts w:eastAsia="標楷體"/>
          <w:noProof/>
          <w:kern w:val="1"/>
          <w:lang w:eastAsia="ar-SA"/>
        </w:rPr>
        <w:t>2010;52:454-61</w:t>
      </w:r>
    </w:p>
    <w:p w:rsidR="008C28DC" w:rsidRPr="008C28DC" w:rsidRDefault="008C28DC" w:rsidP="008C28DC">
      <w:pPr>
        <w:numPr>
          <w:ilvl w:val="0"/>
          <w:numId w:val="3"/>
        </w:numPr>
        <w:suppressAutoHyphens/>
        <w:jc w:val="both"/>
        <w:rPr>
          <w:rFonts w:eastAsia="標楷體"/>
          <w:noProof/>
          <w:kern w:val="1"/>
          <w:lang w:eastAsia="ar-SA"/>
        </w:rPr>
      </w:pPr>
      <w:r w:rsidRPr="008C28DC">
        <w:rPr>
          <w:rFonts w:eastAsia="標楷體"/>
          <w:noProof/>
          <w:kern w:val="1"/>
          <w:lang w:eastAsia="ar-SA"/>
        </w:rPr>
        <w:t xml:space="preserve">Lee JM, Ahn SH, Kim HS, Park H, Chang HY, Kim do Y, Hwang SG, Rim KS, Chon CY, Han KH, Park JY. Quantitative hepatitis B surface antigen and hepatitis B e antigen titers in prediction of treatment response to entecavir. </w:t>
      </w:r>
      <w:r w:rsidRPr="008C28DC">
        <w:rPr>
          <w:rFonts w:eastAsia="標楷體"/>
          <w:i/>
          <w:noProof/>
          <w:kern w:val="1"/>
          <w:lang w:eastAsia="ar-SA"/>
        </w:rPr>
        <w:t>Hepatology</w:t>
      </w:r>
      <w:r w:rsidRPr="008C28DC">
        <w:rPr>
          <w:rFonts w:eastAsia="標楷體"/>
          <w:noProof/>
          <w:kern w:val="1"/>
          <w:lang w:eastAsia="ar-SA"/>
        </w:rPr>
        <w:t xml:space="preserve"> 2011;53:1486-93.</w:t>
      </w:r>
    </w:p>
    <w:p w:rsidR="008C28DC" w:rsidRPr="008C28DC" w:rsidRDefault="008C28DC" w:rsidP="008C28DC">
      <w:pPr>
        <w:numPr>
          <w:ilvl w:val="0"/>
          <w:numId w:val="3"/>
        </w:numPr>
        <w:suppressAutoHyphens/>
        <w:jc w:val="both"/>
        <w:rPr>
          <w:rFonts w:eastAsia="標楷體"/>
          <w:noProof/>
          <w:kern w:val="1"/>
          <w:lang w:eastAsia="ar-SA"/>
        </w:rPr>
      </w:pPr>
      <w:r w:rsidRPr="008C28DC">
        <w:rPr>
          <w:rFonts w:eastAsia="標楷體"/>
          <w:noProof/>
          <w:kern w:val="1"/>
          <w:lang w:eastAsia="ar-SA"/>
        </w:rPr>
        <w:t xml:space="preserve">Lee MH, Lee da M, Kim SS, Cheong JY, Cho SW. Correlation of serum hepatitis B surface antigen level with response to entecavir in naive patients with chronic hepatitis B. </w:t>
      </w:r>
      <w:r w:rsidRPr="008C28DC">
        <w:rPr>
          <w:rFonts w:eastAsia="標楷體"/>
          <w:i/>
          <w:noProof/>
          <w:kern w:val="1"/>
          <w:lang w:eastAsia="ar-SA"/>
        </w:rPr>
        <w:t xml:space="preserve">J Med Virol </w:t>
      </w:r>
      <w:r w:rsidRPr="008C28DC">
        <w:rPr>
          <w:rFonts w:eastAsia="標楷體"/>
          <w:noProof/>
          <w:kern w:val="1"/>
          <w:lang w:eastAsia="ar-SA"/>
        </w:rPr>
        <w:t>2011;83:1178-86.</w:t>
      </w:r>
    </w:p>
    <w:p w:rsidR="008C28DC" w:rsidRPr="008C28DC" w:rsidRDefault="008C28DC" w:rsidP="008C28DC">
      <w:pPr>
        <w:numPr>
          <w:ilvl w:val="0"/>
          <w:numId w:val="3"/>
        </w:numPr>
        <w:suppressAutoHyphens/>
        <w:jc w:val="both"/>
        <w:rPr>
          <w:rFonts w:eastAsia="標楷體"/>
          <w:noProof/>
          <w:kern w:val="1"/>
          <w:lang w:eastAsia="ar-SA"/>
        </w:rPr>
      </w:pPr>
      <w:r w:rsidRPr="008C28DC">
        <w:rPr>
          <w:rFonts w:eastAsia="標楷體"/>
          <w:noProof/>
          <w:kern w:val="1"/>
          <w:lang w:eastAsia="ar-SA"/>
        </w:rPr>
        <w:t>Zeisel MB, Lucifora J, Mason WS, Sureau C, Beck J, Levrero M, et al. Towards an HBV cure: state-of-the-art and unresolved</w:t>
      </w:r>
      <w:r w:rsidRPr="008C28DC">
        <w:rPr>
          <w:rFonts w:eastAsia="標楷體" w:hint="cs"/>
          <w:noProof/>
          <w:kern w:val="1"/>
          <w:lang w:eastAsia="ar-SA"/>
        </w:rPr>
        <w:t xml:space="preserve"> </w:t>
      </w:r>
      <w:r w:rsidRPr="008C28DC">
        <w:rPr>
          <w:rFonts w:eastAsia="標楷體"/>
          <w:noProof/>
          <w:kern w:val="1"/>
          <w:lang w:eastAsia="ar-SA"/>
        </w:rPr>
        <w:t>questions-report of the ANRS workshop on HBV cure. Gut. 2015 Feb 10. Epub ahead of print]</w:t>
      </w:r>
    </w:p>
    <w:p w:rsidR="008C28DC" w:rsidRPr="008C28DC" w:rsidRDefault="008C28DC" w:rsidP="008C28DC">
      <w:pPr>
        <w:numPr>
          <w:ilvl w:val="0"/>
          <w:numId w:val="3"/>
        </w:numPr>
        <w:suppressAutoHyphens/>
        <w:jc w:val="both"/>
        <w:rPr>
          <w:rFonts w:eastAsia="標楷體"/>
          <w:noProof/>
          <w:kern w:val="1"/>
          <w:lang w:eastAsia="ar-SA"/>
        </w:rPr>
      </w:pPr>
      <w:r w:rsidRPr="008C28DC">
        <w:rPr>
          <w:rFonts w:eastAsia="標楷體"/>
          <w:color w:val="000000"/>
          <w:kern w:val="1"/>
          <w:lang w:eastAsia="ar-SA"/>
        </w:rPr>
        <w:t xml:space="preserve">Tseng TC, Liu CJ, Yang HC, Chen CL, Yang WT, Tsai CS, Kuo SF, Verbree FC, Su </w:t>
      </w:r>
      <w:r w:rsidRPr="008C28DC">
        <w:rPr>
          <w:rFonts w:eastAsia="細明體"/>
          <w:color w:val="000000"/>
          <w:kern w:val="0"/>
        </w:rPr>
        <w:t>TH, Wang CC, Liu CH, Chen PJ, Chen DS, Kao JH. Higher proportion of viral basal</w:t>
      </w:r>
      <w:r w:rsidRPr="008C28DC">
        <w:rPr>
          <w:rFonts w:eastAsia="標楷體" w:hint="cs"/>
          <w:noProof/>
          <w:kern w:val="1"/>
          <w:lang w:eastAsia="ar-SA"/>
        </w:rPr>
        <w:t xml:space="preserve"> </w:t>
      </w:r>
      <w:r w:rsidRPr="008C28DC">
        <w:rPr>
          <w:rFonts w:eastAsia="細明體"/>
          <w:color w:val="000000"/>
          <w:kern w:val="0"/>
        </w:rPr>
        <w:t xml:space="preserve">core promoter mutant increases the risk of liver cirrhosis in hepatitis B carriers. Gut. 2015 Feb;64(2):292-302. </w:t>
      </w:r>
    </w:p>
    <w:p w:rsidR="008C28DC" w:rsidRPr="008C28DC" w:rsidRDefault="008C28DC" w:rsidP="008C28DC">
      <w:pPr>
        <w:numPr>
          <w:ilvl w:val="0"/>
          <w:numId w:val="3"/>
        </w:numPr>
        <w:suppressAutoHyphens/>
        <w:jc w:val="both"/>
        <w:rPr>
          <w:rFonts w:eastAsia="標楷體"/>
          <w:noProof/>
          <w:kern w:val="1"/>
          <w:lang w:eastAsia="ar-SA"/>
        </w:rPr>
      </w:pPr>
      <w:r w:rsidRPr="008C28DC">
        <w:rPr>
          <w:rFonts w:eastAsia="標楷體"/>
          <w:noProof/>
          <w:kern w:val="1"/>
          <w:lang w:eastAsia="ar-SA"/>
        </w:rPr>
        <w:t>Yang HC, Chen CL, Shen YC, Peng CY, Liu CJ, Tseng TC, et al. Distinct evolution and predictive value</w:t>
      </w:r>
      <w:r w:rsidRPr="008C28DC">
        <w:rPr>
          <w:rFonts w:eastAsia="標楷體" w:hint="cs"/>
          <w:noProof/>
          <w:kern w:val="1"/>
          <w:lang w:eastAsia="ar-SA"/>
        </w:rPr>
        <w:t xml:space="preserve"> </w:t>
      </w:r>
      <w:r w:rsidRPr="008C28DC">
        <w:rPr>
          <w:rFonts w:eastAsia="標楷體"/>
          <w:noProof/>
          <w:kern w:val="1"/>
          <w:lang w:eastAsia="ar-SA"/>
        </w:rPr>
        <w:t>of hepatitis B virus precore and basal core promoter mutations in</w:t>
      </w:r>
      <w:r w:rsidRPr="008C28DC">
        <w:rPr>
          <w:rFonts w:eastAsia="標楷體" w:hint="cs"/>
          <w:noProof/>
          <w:kern w:val="1"/>
          <w:lang w:eastAsia="ar-SA"/>
        </w:rPr>
        <w:t xml:space="preserve"> </w:t>
      </w:r>
      <w:r w:rsidRPr="008C28DC">
        <w:rPr>
          <w:rFonts w:eastAsia="標楷體"/>
          <w:noProof/>
          <w:kern w:val="1"/>
          <w:lang w:eastAsia="ar-SA"/>
        </w:rPr>
        <w:t>interferon-induced hepatitis B e antigen seroconversion. Hepatology. 2013</w:t>
      </w:r>
      <w:r w:rsidRPr="008C28DC">
        <w:rPr>
          <w:rFonts w:eastAsia="標楷體" w:hint="cs"/>
          <w:noProof/>
          <w:kern w:val="1"/>
          <w:lang w:eastAsia="ar-SA"/>
        </w:rPr>
        <w:t xml:space="preserve"> </w:t>
      </w:r>
      <w:r w:rsidRPr="008C28DC">
        <w:rPr>
          <w:rFonts w:eastAsia="標楷體"/>
          <w:noProof/>
          <w:kern w:val="1"/>
          <w:lang w:eastAsia="ar-SA"/>
        </w:rPr>
        <w:t>Mar;57(3):934-43</w:t>
      </w:r>
    </w:p>
    <w:p w:rsidR="008C28DC" w:rsidRPr="008C28DC" w:rsidRDefault="008C28DC" w:rsidP="008C28DC">
      <w:pPr>
        <w:numPr>
          <w:ilvl w:val="0"/>
          <w:numId w:val="3"/>
        </w:numPr>
        <w:suppressAutoHyphens/>
        <w:jc w:val="both"/>
        <w:rPr>
          <w:rFonts w:eastAsia="標楷體"/>
          <w:noProof/>
          <w:kern w:val="1"/>
          <w:lang w:eastAsia="ar-SA"/>
        </w:rPr>
      </w:pPr>
      <w:r w:rsidRPr="008C28DC">
        <w:rPr>
          <w:rFonts w:eastAsia="標楷體"/>
          <w:noProof/>
          <w:kern w:val="1"/>
          <w:lang w:eastAsia="ar-SA"/>
        </w:rPr>
        <w:t>KimuraT, Rokuhara A, SakamotoY, et al. Sensitive enzyme immunoassay</w:t>
      </w:r>
      <w:r w:rsidRPr="008C28DC">
        <w:rPr>
          <w:rFonts w:eastAsia="標楷體" w:hint="cs"/>
          <w:noProof/>
          <w:kern w:val="1"/>
          <w:lang w:eastAsia="ar-SA"/>
        </w:rPr>
        <w:t xml:space="preserve"> </w:t>
      </w:r>
      <w:r w:rsidRPr="008C28DC">
        <w:rPr>
          <w:rFonts w:eastAsia="標楷體"/>
          <w:noProof/>
          <w:kern w:val="1"/>
          <w:lang w:eastAsia="ar-SA"/>
        </w:rPr>
        <w:t>for hepatitis B virus core-related antigens and their correlation to</w:t>
      </w:r>
      <w:r w:rsidRPr="008C28DC">
        <w:rPr>
          <w:rFonts w:eastAsia="標楷體" w:hint="cs"/>
          <w:noProof/>
          <w:kern w:val="1"/>
          <w:lang w:eastAsia="ar-SA"/>
        </w:rPr>
        <w:t xml:space="preserve"> </w:t>
      </w:r>
      <w:r w:rsidRPr="008C28DC">
        <w:rPr>
          <w:rFonts w:eastAsia="標楷體"/>
          <w:noProof/>
          <w:kern w:val="1"/>
          <w:lang w:eastAsia="ar-SA"/>
        </w:rPr>
        <w:t>virus load. J Clin Microbiol 2002;40(2):439–45.</w:t>
      </w:r>
    </w:p>
    <w:p w:rsidR="008C28DC" w:rsidRDefault="008C28DC" w:rsidP="008C28DC">
      <w:pPr>
        <w:numPr>
          <w:ilvl w:val="0"/>
          <w:numId w:val="3"/>
        </w:numPr>
        <w:suppressAutoHyphens/>
        <w:jc w:val="both"/>
        <w:rPr>
          <w:rFonts w:eastAsia="標楷體"/>
          <w:noProof/>
          <w:kern w:val="1"/>
          <w:lang w:eastAsia="ar-SA"/>
        </w:rPr>
      </w:pPr>
      <w:r w:rsidRPr="008C28DC">
        <w:rPr>
          <w:rFonts w:eastAsia="標楷體"/>
          <w:noProof/>
          <w:kern w:val="1"/>
          <w:lang w:eastAsia="ar-SA"/>
        </w:rPr>
        <w:t>Rokuhara A, Tanaka E, Matsumoto A, et al. Clinical evaluation of a</w:t>
      </w:r>
      <w:r w:rsidRPr="008C28DC">
        <w:rPr>
          <w:rFonts w:eastAsia="標楷體" w:hint="cs"/>
          <w:noProof/>
          <w:kern w:val="1"/>
          <w:lang w:eastAsia="ar-SA"/>
        </w:rPr>
        <w:t xml:space="preserve"> </w:t>
      </w:r>
      <w:r w:rsidRPr="008C28DC">
        <w:rPr>
          <w:rFonts w:eastAsia="標楷體"/>
          <w:noProof/>
          <w:kern w:val="1"/>
          <w:lang w:eastAsia="ar-SA"/>
        </w:rPr>
        <w:t>new enzyme immunoassay for hepatitis B virus core-related antigen; a</w:t>
      </w:r>
      <w:r w:rsidRPr="008C28DC">
        <w:rPr>
          <w:rFonts w:eastAsia="標楷體" w:hint="cs"/>
          <w:noProof/>
          <w:kern w:val="1"/>
          <w:lang w:eastAsia="ar-SA"/>
        </w:rPr>
        <w:t xml:space="preserve"> </w:t>
      </w:r>
      <w:r w:rsidRPr="008C28DC">
        <w:rPr>
          <w:rFonts w:eastAsia="標楷體"/>
          <w:noProof/>
          <w:kern w:val="1"/>
          <w:lang w:eastAsia="ar-SA"/>
        </w:rPr>
        <w:t>marker distinct from viral DNA for monitoring lamivudine treatment.</w:t>
      </w:r>
      <w:r w:rsidRPr="008C28DC">
        <w:rPr>
          <w:rFonts w:eastAsia="標楷體" w:hint="cs"/>
          <w:noProof/>
          <w:kern w:val="1"/>
          <w:lang w:eastAsia="ar-SA"/>
        </w:rPr>
        <w:t xml:space="preserve"> </w:t>
      </w:r>
      <w:r w:rsidRPr="008C28DC">
        <w:rPr>
          <w:rFonts w:eastAsia="標楷體"/>
          <w:noProof/>
          <w:kern w:val="1"/>
          <w:lang w:eastAsia="ar-SA"/>
        </w:rPr>
        <w:t>J Viral Hepat 2003;10(4):324–30.</w:t>
      </w:r>
    </w:p>
    <w:p w:rsidR="00704427" w:rsidRDefault="008C28DC" w:rsidP="008C28DC">
      <w:pPr>
        <w:numPr>
          <w:ilvl w:val="0"/>
          <w:numId w:val="3"/>
        </w:numPr>
        <w:suppressAutoHyphens/>
        <w:jc w:val="both"/>
        <w:rPr>
          <w:rFonts w:eastAsia="標楷體"/>
          <w:noProof/>
          <w:kern w:val="1"/>
          <w:lang w:eastAsia="ar-SA"/>
        </w:rPr>
      </w:pPr>
      <w:r w:rsidRPr="008C28DC">
        <w:rPr>
          <w:rFonts w:eastAsia="標楷體"/>
          <w:kern w:val="1"/>
          <w:lang w:eastAsia="ar-SA"/>
        </w:rPr>
        <w:t>Matsumoto A, Tanaka E, Suzuki Y, Kobayashi M, Tanaka Y,</w:t>
      </w:r>
      <w:r w:rsidRPr="008C28DC">
        <w:rPr>
          <w:rFonts w:eastAsia="標楷體" w:hint="cs"/>
          <w:kern w:val="1"/>
          <w:lang w:eastAsia="ar-SA"/>
        </w:rPr>
        <w:t xml:space="preserve"> </w:t>
      </w:r>
      <w:r w:rsidRPr="008C28DC">
        <w:rPr>
          <w:rFonts w:eastAsia="標楷體"/>
          <w:kern w:val="1"/>
          <w:lang w:eastAsia="ar-SA"/>
        </w:rPr>
        <w:t>Shinkai N, et al. Combination of hepatitis B viral antigens and</w:t>
      </w:r>
      <w:r w:rsidRPr="008C28DC">
        <w:rPr>
          <w:rFonts w:eastAsia="標楷體" w:hint="cs"/>
          <w:kern w:val="1"/>
          <w:lang w:eastAsia="ar-SA"/>
        </w:rPr>
        <w:t xml:space="preserve"> </w:t>
      </w:r>
      <w:r w:rsidRPr="008C28DC">
        <w:rPr>
          <w:rFonts w:eastAsia="標楷體"/>
          <w:kern w:val="1"/>
          <w:lang w:eastAsia="ar-SA"/>
        </w:rPr>
        <w:t>DNA for prediction of relapse after discontinuation of nucleos(t)ide analogs in patients with chronic hepatitis B. Hepatol Res.</w:t>
      </w:r>
      <w:r w:rsidRPr="008C28DC">
        <w:rPr>
          <w:rFonts w:eastAsia="標楷體" w:hint="cs"/>
          <w:kern w:val="1"/>
          <w:lang w:eastAsia="ar-SA"/>
        </w:rPr>
        <w:t xml:space="preserve"> </w:t>
      </w:r>
      <w:r w:rsidRPr="008C28DC">
        <w:rPr>
          <w:rFonts w:eastAsia="標楷體"/>
          <w:kern w:val="1"/>
          <w:lang w:eastAsia="ar-SA"/>
        </w:rPr>
        <w:t>2012;42(2):139–49.</w:t>
      </w:r>
    </w:p>
    <w:p w:rsidR="008C28DC" w:rsidRPr="008C28DC" w:rsidRDefault="008C28DC" w:rsidP="008C28DC">
      <w:pPr>
        <w:suppressAutoHyphens/>
        <w:jc w:val="both"/>
        <w:rPr>
          <w:rFonts w:eastAsia="標楷體"/>
          <w:b/>
          <w:caps/>
          <w:kern w:val="24"/>
          <w:lang w:eastAsia="ar-SA"/>
        </w:rPr>
      </w:pPr>
    </w:p>
    <w:p w:rsidR="008C28DC" w:rsidRDefault="008C28DC" w:rsidP="008C28DC">
      <w:pPr>
        <w:suppressAutoHyphens/>
        <w:jc w:val="both"/>
        <w:rPr>
          <w:rFonts w:eastAsia="標楷體"/>
          <w:kern w:val="1"/>
          <w:lang w:eastAsia="ar-SA"/>
        </w:rPr>
      </w:pPr>
      <w:r w:rsidRPr="008C28DC">
        <w:rPr>
          <w:rFonts w:eastAsia="標楷體" w:hint="cs"/>
          <w:b/>
          <w:caps/>
          <w:kern w:val="24"/>
          <w:lang w:eastAsia="ar-SA"/>
        </w:rPr>
        <w:t>Expe</w:t>
      </w:r>
      <w:r w:rsidRPr="008C28DC">
        <w:rPr>
          <w:rFonts w:eastAsia="標楷體"/>
          <w:b/>
          <w:caps/>
          <w:kern w:val="24"/>
          <w:lang w:eastAsia="ar-SA"/>
        </w:rPr>
        <w:t>cted results and contributions</w:t>
      </w:r>
    </w:p>
    <w:p w:rsidR="00F552D7" w:rsidRPr="008C28DC" w:rsidRDefault="008C28DC" w:rsidP="008C28DC">
      <w:pPr>
        <w:suppressAutoHyphens/>
        <w:jc w:val="both"/>
        <w:rPr>
          <w:rFonts w:eastAsia="標楷體"/>
          <w:noProof/>
          <w:kern w:val="1"/>
        </w:rPr>
      </w:pPr>
      <w:r>
        <w:rPr>
          <w:rFonts w:eastAsia="標楷體"/>
          <w:kern w:val="1"/>
          <w:lang w:eastAsia="ar-SA"/>
        </w:rPr>
        <w:t xml:space="preserve">    </w:t>
      </w:r>
      <w:r w:rsidR="00E317B0">
        <w:rPr>
          <w:rFonts w:eastAsia="標楷體"/>
          <w:kern w:val="1"/>
          <w:lang w:eastAsia="ar-SA"/>
        </w:rPr>
        <w:t xml:space="preserve">Before the availability of a novel treatment that can completely eradicate hepatitis B virus (most difficultly the cccDNA in the nucleus), NUC will continue to be the mainstay of antiviral therapy for chronic hepatitis </w:t>
      </w:r>
      <w:r w:rsidR="00437094">
        <w:rPr>
          <w:rFonts w:eastAsia="標楷體"/>
          <w:kern w:val="1"/>
          <w:lang w:eastAsia="ar-SA"/>
        </w:rPr>
        <w:t xml:space="preserve">B. Therefore, </w:t>
      </w:r>
      <w:r w:rsidR="00E317B0">
        <w:rPr>
          <w:rFonts w:eastAsia="標楷體"/>
          <w:kern w:val="1"/>
          <w:lang w:eastAsia="ar-SA"/>
        </w:rPr>
        <w:t xml:space="preserve">how to safely discontinue NUCs in patients with </w:t>
      </w:r>
      <w:r w:rsidR="00E317B0">
        <w:rPr>
          <w:rFonts w:eastAsia="標楷體" w:hint="eastAsia"/>
          <w:kern w:val="1"/>
        </w:rPr>
        <w:t>chronic hepatitis B</w:t>
      </w:r>
      <w:r w:rsidR="00437094">
        <w:rPr>
          <w:rFonts w:eastAsia="標楷體"/>
          <w:kern w:val="1"/>
        </w:rPr>
        <w:t xml:space="preserve"> remains a practical issue in clinical practice, particularly in Taiwan where there is a strict regulation on the reimbursement for NUC. Exploration of biomarkers that can predict off-therapy outcomes is necessary. Taking the advantage of our established cohort with sufficient follow-up, </w:t>
      </w:r>
      <w:r w:rsidR="00386058">
        <w:rPr>
          <w:rFonts w:eastAsia="標楷體"/>
          <w:kern w:val="1"/>
        </w:rPr>
        <w:t>the current project</w:t>
      </w:r>
      <w:r w:rsidR="00437094">
        <w:rPr>
          <w:rFonts w:eastAsia="標楷體"/>
          <w:kern w:val="1"/>
        </w:rPr>
        <w:t xml:space="preserve"> is expected to</w:t>
      </w:r>
      <w:r w:rsidR="00386058">
        <w:rPr>
          <w:rFonts w:eastAsia="標楷體"/>
          <w:kern w:val="1"/>
        </w:rPr>
        <w:t xml:space="preserve"> develop </w:t>
      </w:r>
      <w:r w:rsidR="00437094">
        <w:rPr>
          <w:rFonts w:eastAsia="標楷體"/>
          <w:kern w:val="1"/>
        </w:rPr>
        <w:t>an off-therapy management algorithm</w:t>
      </w:r>
      <w:r w:rsidR="00386058">
        <w:rPr>
          <w:rFonts w:eastAsia="標楷體"/>
          <w:kern w:val="1"/>
        </w:rPr>
        <w:t xml:space="preserve"> for safe cessation of NUC</w:t>
      </w:r>
      <w:bookmarkStart w:id="0" w:name="_GoBack"/>
      <w:bookmarkEnd w:id="0"/>
      <w:r w:rsidR="00437094">
        <w:rPr>
          <w:rFonts w:eastAsia="標楷體"/>
          <w:kern w:val="1"/>
        </w:rPr>
        <w:t xml:space="preserve">. </w:t>
      </w:r>
    </w:p>
    <w:sectPr w:rsidR="00F552D7" w:rsidRPr="008C28D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A14" w:rsidRDefault="008D7A14" w:rsidP="002678C0">
      <w:r>
        <w:separator/>
      </w:r>
    </w:p>
  </w:endnote>
  <w:endnote w:type="continuationSeparator" w:id="0">
    <w:p w:rsidR="008D7A14" w:rsidRDefault="008D7A14" w:rsidP="0026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A14" w:rsidRDefault="008D7A14" w:rsidP="002678C0">
      <w:r>
        <w:separator/>
      </w:r>
    </w:p>
  </w:footnote>
  <w:footnote w:type="continuationSeparator" w:id="0">
    <w:p w:rsidR="008D7A14" w:rsidRDefault="008D7A14" w:rsidP="00267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D90FDC"/>
    <w:multiLevelType w:val="hybridMultilevel"/>
    <w:tmpl w:val="EF7625DE"/>
    <w:lvl w:ilvl="0" w:tplc="A08CAE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1ED31ED"/>
    <w:multiLevelType w:val="hybridMultilevel"/>
    <w:tmpl w:val="58AE8408"/>
    <w:lvl w:ilvl="0" w:tplc="9C54C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8C0"/>
    <w:rsid w:val="00057630"/>
    <w:rsid w:val="000B1A12"/>
    <w:rsid w:val="001B6C88"/>
    <w:rsid w:val="001C352E"/>
    <w:rsid w:val="00217B41"/>
    <w:rsid w:val="002367E3"/>
    <w:rsid w:val="00261B60"/>
    <w:rsid w:val="0026489A"/>
    <w:rsid w:val="002678C0"/>
    <w:rsid w:val="002967FB"/>
    <w:rsid w:val="002F0096"/>
    <w:rsid w:val="003142F5"/>
    <w:rsid w:val="00361966"/>
    <w:rsid w:val="00386058"/>
    <w:rsid w:val="00387823"/>
    <w:rsid w:val="003A19EC"/>
    <w:rsid w:val="003B12A7"/>
    <w:rsid w:val="003E48DD"/>
    <w:rsid w:val="003E4CFA"/>
    <w:rsid w:val="003F13BA"/>
    <w:rsid w:val="00413F6C"/>
    <w:rsid w:val="0043431E"/>
    <w:rsid w:val="00437094"/>
    <w:rsid w:val="004B58CF"/>
    <w:rsid w:val="004E2477"/>
    <w:rsid w:val="0051680D"/>
    <w:rsid w:val="00526E1C"/>
    <w:rsid w:val="0055566E"/>
    <w:rsid w:val="005820CC"/>
    <w:rsid w:val="00587B80"/>
    <w:rsid w:val="005F4B5A"/>
    <w:rsid w:val="0067476F"/>
    <w:rsid w:val="006848D2"/>
    <w:rsid w:val="006F121D"/>
    <w:rsid w:val="00704427"/>
    <w:rsid w:val="00721751"/>
    <w:rsid w:val="007352D5"/>
    <w:rsid w:val="00782894"/>
    <w:rsid w:val="00783C3D"/>
    <w:rsid w:val="007A0FC9"/>
    <w:rsid w:val="007F3089"/>
    <w:rsid w:val="0082430A"/>
    <w:rsid w:val="00826ADC"/>
    <w:rsid w:val="008467F9"/>
    <w:rsid w:val="008C28DC"/>
    <w:rsid w:val="008D7A14"/>
    <w:rsid w:val="008E26F0"/>
    <w:rsid w:val="008E4474"/>
    <w:rsid w:val="008E62B2"/>
    <w:rsid w:val="0096151E"/>
    <w:rsid w:val="009A4899"/>
    <w:rsid w:val="009A7637"/>
    <w:rsid w:val="009C45A6"/>
    <w:rsid w:val="009F5AF7"/>
    <w:rsid w:val="00A51206"/>
    <w:rsid w:val="00A64745"/>
    <w:rsid w:val="00A8741B"/>
    <w:rsid w:val="00B02586"/>
    <w:rsid w:val="00B07BAC"/>
    <w:rsid w:val="00B17525"/>
    <w:rsid w:val="00B33CC1"/>
    <w:rsid w:val="00BD1D25"/>
    <w:rsid w:val="00C13832"/>
    <w:rsid w:val="00C26638"/>
    <w:rsid w:val="00C73079"/>
    <w:rsid w:val="00C74FC2"/>
    <w:rsid w:val="00CC1F92"/>
    <w:rsid w:val="00CD1D6A"/>
    <w:rsid w:val="00CF6FC0"/>
    <w:rsid w:val="00D06252"/>
    <w:rsid w:val="00D12F75"/>
    <w:rsid w:val="00D500D6"/>
    <w:rsid w:val="00D70640"/>
    <w:rsid w:val="00D845D0"/>
    <w:rsid w:val="00E317B0"/>
    <w:rsid w:val="00E50D32"/>
    <w:rsid w:val="00E63292"/>
    <w:rsid w:val="00EB2EB3"/>
    <w:rsid w:val="00F13BFF"/>
    <w:rsid w:val="00F552D7"/>
    <w:rsid w:val="00FF04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9360065B-FF2D-43DD-A77A-846953A0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240" w:lineRule="exact"/>
      <w:ind w:left="75"/>
      <w:jc w:val="center"/>
      <w:outlineLvl w:val="0"/>
    </w:pPr>
    <w:rPr>
      <w:rFonts w:eastAsia="標楷體"/>
      <w:sz w:val="28"/>
      <w:shd w:val="pct15" w:color="auto" w:fill="FFFFFF"/>
    </w:rPr>
  </w:style>
  <w:style w:type="paragraph" w:styleId="2">
    <w:name w:val="heading 2"/>
    <w:basedOn w:val="a"/>
    <w:next w:val="a"/>
    <w:qFormat/>
    <w:pPr>
      <w:keepNext/>
      <w:spacing w:before="240" w:after="60"/>
      <w:outlineLvl w:val="1"/>
    </w:pPr>
    <w:rPr>
      <w:rFonts w:ascii="Arial" w:hAnsi="Arial"/>
      <w:b/>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a4">
    <w:name w:val="header"/>
    <w:basedOn w:val="a"/>
    <w:link w:val="a5"/>
    <w:uiPriority w:val="99"/>
    <w:unhideWhenUsed/>
    <w:rsid w:val="002678C0"/>
    <w:pPr>
      <w:tabs>
        <w:tab w:val="center" w:pos="4153"/>
        <w:tab w:val="right" w:pos="8306"/>
      </w:tabs>
      <w:snapToGrid w:val="0"/>
    </w:pPr>
    <w:rPr>
      <w:sz w:val="20"/>
      <w:szCs w:val="20"/>
      <w:lang w:val="x-none" w:eastAsia="x-none"/>
    </w:rPr>
  </w:style>
  <w:style w:type="character" w:customStyle="1" w:styleId="a5">
    <w:name w:val="頁首 字元"/>
    <w:link w:val="a4"/>
    <w:uiPriority w:val="99"/>
    <w:rsid w:val="002678C0"/>
    <w:rPr>
      <w:kern w:val="2"/>
    </w:rPr>
  </w:style>
  <w:style w:type="paragraph" w:styleId="a6">
    <w:name w:val="footer"/>
    <w:basedOn w:val="a"/>
    <w:link w:val="a7"/>
    <w:uiPriority w:val="99"/>
    <w:unhideWhenUsed/>
    <w:rsid w:val="002678C0"/>
    <w:pPr>
      <w:tabs>
        <w:tab w:val="center" w:pos="4153"/>
        <w:tab w:val="right" w:pos="8306"/>
      </w:tabs>
      <w:snapToGrid w:val="0"/>
    </w:pPr>
    <w:rPr>
      <w:sz w:val="20"/>
      <w:szCs w:val="20"/>
      <w:lang w:val="x-none" w:eastAsia="x-none"/>
    </w:rPr>
  </w:style>
  <w:style w:type="character" w:customStyle="1" w:styleId="a7">
    <w:name w:val="頁尾 字元"/>
    <w:link w:val="a6"/>
    <w:uiPriority w:val="99"/>
    <w:rsid w:val="002678C0"/>
    <w:rPr>
      <w:kern w:val="2"/>
    </w:rPr>
  </w:style>
  <w:style w:type="paragraph" w:customStyle="1" w:styleId="EndNoteBibliography">
    <w:name w:val="EndNote Bibliography"/>
    <w:basedOn w:val="a"/>
    <w:link w:val="EndNoteBibliography0"/>
    <w:rsid w:val="00704427"/>
    <w:rPr>
      <w:rFonts w:ascii="Calibri" w:hAnsi="Calibri" w:cs="Calibri"/>
      <w:noProof/>
      <w:szCs w:val="22"/>
    </w:rPr>
  </w:style>
  <w:style w:type="character" w:customStyle="1" w:styleId="EndNoteBibliography0">
    <w:name w:val="EndNote Bibliography 字元"/>
    <w:link w:val="EndNoteBibliography"/>
    <w:rsid w:val="00704427"/>
    <w:rPr>
      <w:rFonts w:ascii="Calibri" w:hAnsi="Calibri" w:cs="Calibri"/>
      <w:noProof/>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1541</Words>
  <Characters>8785</Characters>
  <Application>Microsoft Office Word</Application>
  <DocSecurity>0</DocSecurity>
  <Lines>73</Lines>
  <Paragraphs>20</Paragraphs>
  <ScaleCrop>false</ScaleCrop>
  <Company>CMT</Company>
  <LinksUpToDate>false</LinksUpToDate>
  <CharactersWithSpaces>10306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研究計畫中英文摘要</dc:title>
  <dc:subject/>
  <dc:creator>user</dc:creator>
  <cp:keywords/>
  <cp:lastModifiedBy>user</cp:lastModifiedBy>
  <cp:revision>4</cp:revision>
  <dcterms:created xsi:type="dcterms:W3CDTF">2017-03-05T04:44:00Z</dcterms:created>
  <dcterms:modified xsi:type="dcterms:W3CDTF">2017-03-05T04:53:00Z</dcterms:modified>
</cp:coreProperties>
</file>