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hAnsi="Minion-Black" w:cs="Minion-Black"/>
          <w:b/>
          <w:bCs/>
          <w:sz w:val="36"/>
          <w:szCs w:val="36"/>
        </w:rPr>
      </w:pPr>
      <w:r>
        <w:rPr>
          <w:rFonts w:ascii="Arial" w:eastAsia="新細明體" w:hAnsi="Arial" w:cs="Arial" w:hint="eastAsia"/>
          <w:b/>
          <w:bCs/>
          <w:color w:val="666666"/>
          <w:sz w:val="18"/>
          <w:szCs w:val="18"/>
          <w:lang w:eastAsia="zh-TW"/>
        </w:rPr>
        <w:t xml:space="preserve"> </w:t>
      </w:r>
      <w:r>
        <w:rPr>
          <w:rFonts w:ascii="Minion-Black" w:hAnsi="Minion-Black" w:cs="Minion-Black"/>
          <w:b/>
          <w:bCs/>
          <w:sz w:val="36"/>
          <w:szCs w:val="36"/>
        </w:rPr>
        <w:t xml:space="preserve">Mixed Infections of </w:t>
      </w:r>
      <w:r>
        <w:rPr>
          <w:rFonts w:ascii="minionblackit" w:hAnsi="minionblackit" w:cs="minionblackit"/>
          <w:i/>
          <w:iCs/>
          <w:sz w:val="36"/>
          <w:szCs w:val="36"/>
        </w:rPr>
        <w:t xml:space="preserve">Helicobacter pylori </w:t>
      </w:r>
      <w:r>
        <w:rPr>
          <w:rFonts w:ascii="Minion-Black" w:hAnsi="Minion-Black" w:cs="Minion-Black"/>
          <w:b/>
          <w:bCs/>
          <w:sz w:val="36"/>
          <w:szCs w:val="36"/>
        </w:rPr>
        <w:t>Isolated from</w:t>
      </w:r>
    </w:p>
    <w:p w:rsidR="00D421A3" w:rsidRPr="001E4701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eastAsia="新細明體" w:hAnsi="Minion-Black" w:cs="Minion-Black" w:hint="eastAsia"/>
          <w:b/>
          <w:bCs/>
          <w:sz w:val="36"/>
          <w:szCs w:val="36"/>
          <w:lang w:eastAsia="zh-TW"/>
        </w:rPr>
      </w:pPr>
      <w:r>
        <w:rPr>
          <w:rFonts w:ascii="Minion-Black" w:hAnsi="Minion-Black" w:cs="Minion-Black"/>
          <w:b/>
          <w:bCs/>
          <w:sz w:val="36"/>
          <w:szCs w:val="36"/>
        </w:rPr>
        <w:t>Patients with Gastrointestinal Diseases in Taiwan</w:t>
      </w:r>
      <w:r w:rsidR="001E4701">
        <w:rPr>
          <w:rFonts w:ascii="Minion-Black" w:eastAsia="新細明體" w:hAnsi="Minion-Black" w:cs="Minion-Black" w:hint="eastAsia"/>
          <w:b/>
          <w:bCs/>
          <w:sz w:val="36"/>
          <w:szCs w:val="36"/>
          <w:lang w:eastAsia="zh-TW"/>
        </w:rPr>
        <w:t xml:space="preserve">, a three year project </w:t>
      </w:r>
      <w:bookmarkStart w:id="0" w:name="_GoBack"/>
      <w:bookmarkEnd w:id="0"/>
    </w:p>
    <w:p w:rsidR="00A52F4F" w:rsidRDefault="00D421A3" w:rsidP="00D421A3">
      <w:pPr>
        <w:rPr>
          <w:rFonts w:ascii="Minion-Black" w:eastAsia="新細明體" w:hAnsi="Minion-Black" w:cs="Minion-Black" w:hint="eastAsia"/>
          <w:b/>
          <w:bCs/>
          <w:sz w:val="24"/>
          <w:szCs w:val="24"/>
          <w:lang w:eastAsia="zh-TW"/>
        </w:rPr>
      </w:pPr>
      <w:r>
        <w:rPr>
          <w:rFonts w:ascii="Minion-Black" w:eastAsia="新細明體" w:hAnsi="Minion-Black" w:cs="Minion-Black" w:hint="eastAsia"/>
          <w:b/>
          <w:bCs/>
          <w:sz w:val="24"/>
          <w:szCs w:val="24"/>
          <w:lang w:eastAsia="zh-TW"/>
        </w:rPr>
        <w:t xml:space="preserve"> </w:t>
      </w:r>
    </w:p>
    <w:p w:rsidR="00D421A3" w:rsidRDefault="00D421A3" w:rsidP="00D421A3">
      <w:pPr>
        <w:rPr>
          <w:rFonts w:ascii="Minion-Black" w:eastAsia="新細明體" w:hAnsi="Minion-Black" w:cs="Minion-Black" w:hint="eastAsia"/>
          <w:b/>
          <w:bCs/>
          <w:sz w:val="24"/>
          <w:szCs w:val="24"/>
          <w:lang w:eastAsia="zh-TW"/>
        </w:rPr>
      </w:pP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hAnsi="Minion-Black" w:cs="Minion-Black"/>
          <w:b/>
          <w:bCs/>
          <w:sz w:val="36"/>
          <w:szCs w:val="36"/>
        </w:rPr>
      </w:pPr>
      <w:r w:rsidRPr="00D421A3">
        <w:rPr>
          <w:rFonts w:ascii="Minion-Black" w:hAnsi="Minion-Black" w:cs="Minion-Black"/>
          <w:b/>
          <w:bCs/>
          <w:sz w:val="36"/>
          <w:szCs w:val="36"/>
        </w:rPr>
        <w:t>1. Introduction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r w:rsidRPr="00D421A3">
        <w:rPr>
          <w:rFonts w:ascii="MinionPro-It" w:eastAsia="MinionPro-It" w:hAnsi="Minion-Black" w:cs="MinionPro-It"/>
          <w:i/>
          <w:iCs/>
          <w:sz w:val="36"/>
          <w:szCs w:val="36"/>
        </w:rPr>
        <w:t xml:space="preserve">Helicobacter </w:t>
      </w:r>
      <w:proofErr w:type="gramStart"/>
      <w:r w:rsidRPr="00D421A3">
        <w:rPr>
          <w:rFonts w:ascii="MinionPro-It" w:eastAsia="MinionPro-It" w:hAnsi="Minion-Black" w:cs="MinionPro-It"/>
          <w:i/>
          <w:iCs/>
          <w:sz w:val="36"/>
          <w:szCs w:val="36"/>
        </w:rPr>
        <w:t xml:space="preserve">pylori </w:t>
      </w:r>
      <w:r w:rsidRPr="00D421A3">
        <w:rPr>
          <w:rFonts w:ascii="MinionPro-Regular" w:eastAsia="MinionPro-Regular" w:hAnsi="Minion-Black" w:cs="MinionPro-Regular"/>
          <w:sz w:val="36"/>
          <w:szCs w:val="36"/>
        </w:rPr>
        <w:t>is</w:t>
      </w:r>
      <w:proofErr w:type="gramEnd"/>
      <w:r w:rsidRPr="00D421A3">
        <w:rPr>
          <w:rFonts w:ascii="MinionPro-Regular" w:eastAsia="MinionPro-Regular" w:hAnsi="Minion-Black" w:cs="MinionPro-Regular"/>
          <w:sz w:val="36"/>
          <w:szCs w:val="36"/>
        </w:rPr>
        <w:t xml:space="preserve"> a gram-negative, spiral shaped microaerophilic</w:t>
      </w:r>
      <w:r>
        <w:rPr>
          <w:rFonts w:ascii="MinionPro-Regular" w:eastAsia="MinionPro-Regular" w:hAnsi="Minion-Black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hAnsi="Minion-Black" w:cs="MinionPro-Regular"/>
          <w:sz w:val="36"/>
          <w:szCs w:val="36"/>
        </w:rPr>
        <w:t>bacterium that colonizes the human gastric</w:t>
      </w:r>
      <w:r>
        <w:rPr>
          <w:rFonts w:ascii="MinionPro-Regular" w:eastAsia="MinionPro-Regular" w:hAnsi="Minion-Black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hAnsi="Minion-Black" w:cs="MinionPro-Regular"/>
          <w:sz w:val="36"/>
          <w:szCs w:val="36"/>
        </w:rPr>
        <w:t xml:space="preserve">mucosa throughout life [1]. Persistent </w:t>
      </w:r>
      <w:r w:rsidRPr="00D421A3">
        <w:rPr>
          <w:rFonts w:ascii="MinionPro-It" w:eastAsia="MinionPro-It" w:hAnsi="Minion-Black" w:cs="MinionPro-It"/>
          <w:i/>
          <w:iCs/>
          <w:sz w:val="36"/>
          <w:szCs w:val="36"/>
        </w:rPr>
        <w:t xml:space="preserve">H. pylori </w:t>
      </w:r>
      <w:r w:rsidRPr="00D421A3">
        <w:rPr>
          <w:rFonts w:ascii="MinionPro-Regular" w:eastAsia="MinionPro-Regular" w:hAnsi="Minion-Black" w:cs="MinionPro-Regular"/>
          <w:sz w:val="36"/>
          <w:szCs w:val="36"/>
        </w:rPr>
        <w:t>infection is</w:t>
      </w:r>
      <w:r>
        <w:rPr>
          <w:rFonts w:ascii="MinionPro-Regular" w:eastAsia="MinionPro-Regular" w:hAnsi="Minion-Black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hAnsi="Minion-Black" w:cs="MinionPro-Regular"/>
          <w:sz w:val="36"/>
          <w:szCs w:val="36"/>
        </w:rPr>
        <w:t>associated with several gastrointestinal disorders, including</w:t>
      </w:r>
      <w:r>
        <w:rPr>
          <w:rFonts w:ascii="MinionPro-Regular" w:eastAsia="MinionPro-Regular" w:hAnsi="Minion-Black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hAnsi="Minion-Black" w:cs="MinionPro-Regular"/>
          <w:sz w:val="36"/>
          <w:szCs w:val="36"/>
        </w:rPr>
        <w:t>chronic gastritis, peptic ulcer, lymphoid tissue lymphoma,</w:t>
      </w:r>
      <w:r>
        <w:rPr>
          <w:rFonts w:ascii="MinionPro-Regular" w:eastAsia="MinionPro-Regular" w:hAnsi="Minion-Black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hAnsi="Minion-Black" w:cs="MinionPro-Regular"/>
          <w:sz w:val="36"/>
          <w:szCs w:val="36"/>
        </w:rPr>
        <w:t>and gastric adenocarcinoma [2]. It has been reported that</w:t>
      </w:r>
      <w:r>
        <w:rPr>
          <w:rFonts w:ascii="MinionPro-Regular" w:eastAsia="MinionPro-Regular" w:hAnsi="Minion-Black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It" w:eastAsia="MinionPro-It" w:hAnsi="Minion-Black" w:cs="MinionPro-It"/>
          <w:i/>
          <w:iCs/>
          <w:sz w:val="36"/>
          <w:szCs w:val="36"/>
        </w:rPr>
        <w:t xml:space="preserve">H. pylori </w:t>
      </w:r>
      <w:r w:rsidRPr="00D421A3">
        <w:rPr>
          <w:rFonts w:ascii="MinionPro-Regular" w:eastAsia="MinionPro-Regular" w:hAnsi="Minion-Black" w:cs="MinionPro-Regular"/>
          <w:sz w:val="36"/>
          <w:szCs w:val="36"/>
        </w:rPr>
        <w:t>may select a particular niche on the mucosa where</w:t>
      </w:r>
      <w:r w:rsidRPr="00D421A3">
        <w:rPr>
          <w:rFonts w:ascii="MinionPro-Regular" w:eastAsia="MinionPro-Regular" w:hAnsi="Minion-Black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the bacteria can evade host immune responses by utilizing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delicate strategies to manipulate immune cells as well as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protect against antibiotic attack, leading to the progression of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 w:hint="eastAsia"/>
          <w:sz w:val="36"/>
          <w:szCs w:val="36"/>
          <w:lang w:eastAsia="zh-TW"/>
        </w:rPr>
      </w:pP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t>gastrointestinal</w:t>
      </w:r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 diseases [3, 4].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Several virulence factors involving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H. pylori</w:t>
      </w:r>
      <w:r w:rsidRPr="00D421A3">
        <w:rPr>
          <w:rFonts w:ascii="MinionPro-Regular" w:eastAsia="MinionPro-Regular" w:cs="MinionPro-Regular"/>
          <w:sz w:val="36"/>
          <w:szCs w:val="36"/>
        </w:rPr>
        <w:t>-induced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pathogenesis and the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underlyingmechanisms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have led to different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clinical sequelae [5</w:t>
      </w:r>
      <w:r w:rsidRPr="00D421A3">
        <w:rPr>
          <w:rFonts w:ascii="MinionPro-Regular" w:eastAsia="MinionPro-Regular" w:cs="MinionPro-Regular" w:hint="eastAsia"/>
          <w:sz w:val="36"/>
          <w:szCs w:val="36"/>
        </w:rPr>
        <w:t>–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7].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Vacuolating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cytotoxin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(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VacA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>),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one of the major virulence factors secreted from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H. pylori</w:t>
      </w:r>
      <w:r w:rsidRPr="00D421A3">
        <w:rPr>
          <w:rFonts w:ascii="MinionPro-Regular" w:eastAsia="MinionPro-Regular" w:cs="MinionPro-Regular"/>
          <w:sz w:val="36"/>
          <w:szCs w:val="36"/>
        </w:rPr>
        <w:t>,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lastRenderedPageBreak/>
        <w:t>has</w:t>
      </w:r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 been detected in bacterial culture supernatants [8]. Upon</w:t>
      </w:r>
      <w:r w:rsidRPr="00D421A3"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H. pylori </w:t>
      </w:r>
      <w:r w:rsidRPr="00D421A3">
        <w:rPr>
          <w:rFonts w:ascii="MinionPro-Regular" w:eastAsia="MinionPro-Regular" w:cs="MinionPro-Regular"/>
          <w:sz w:val="36"/>
          <w:szCs w:val="36"/>
        </w:rPr>
        <w:t>colonization on cells, bacterial surface-contacted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VacA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is secreted directly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frombacteria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>, followed by the intoxication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of cells by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vacuolation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[9]. Previous studies reported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that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vacA</w:t>
      </w:r>
      <w:proofErr w:type="spellEnd"/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was diversified among clinical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H. pylori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isolates</w:t>
      </w: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t>,particularly</w:t>
      </w:r>
      <w:proofErr w:type="spellEnd"/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 in the region encoding the signal sequence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(type s1 or s2) and the mid-region (type m1 or m2) [10].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Additionally, the distribution of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vacA</w:t>
      </w:r>
      <w:proofErr w:type="spellEnd"/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alleles varies among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different geographic regions [11</w:t>
      </w:r>
      <w:r w:rsidRPr="00D421A3">
        <w:rPr>
          <w:rFonts w:ascii="MinionPro-Regular" w:eastAsia="MinionPro-Regular" w:cs="MinionPro-Regular" w:hint="eastAsia"/>
          <w:sz w:val="36"/>
          <w:szCs w:val="36"/>
        </w:rPr>
        <w:t>–</w:t>
      </w:r>
      <w:r w:rsidRPr="00D421A3">
        <w:rPr>
          <w:rFonts w:ascii="MinionPro-Regular" w:eastAsia="MinionPro-Regular" w:cs="MinionPro-Regular"/>
          <w:sz w:val="36"/>
          <w:szCs w:val="36"/>
        </w:rPr>
        <w:t>14].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r w:rsidRPr="00D421A3">
        <w:rPr>
          <w:rFonts w:ascii="MinionPro-Regular" w:eastAsia="MinionPro-Regular" w:cs="MinionPro-Regular"/>
          <w:sz w:val="36"/>
          <w:szCs w:val="36"/>
        </w:rPr>
        <w:t xml:space="preserve">Another virulence factor of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H. pylori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is the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cag</w:t>
      </w:r>
      <w:r w:rsidRPr="00D421A3">
        <w:rPr>
          <w:rFonts w:ascii="MinionPro-Regular" w:eastAsia="MinionPro-Regular" w:cs="MinionPro-Regular"/>
          <w:sz w:val="36"/>
          <w:szCs w:val="36"/>
        </w:rPr>
        <w:t>-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athogenicity</w:t>
      </w:r>
      <w:proofErr w:type="spellEnd"/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t>island-</w:t>
      </w:r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 (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cag</w:t>
      </w:r>
      <w:r w:rsidRPr="00D421A3">
        <w:rPr>
          <w:rFonts w:ascii="MinionPro-Regular" w:eastAsia="MinionPro-Regular" w:cs="MinionPro-Regular"/>
          <w:sz w:val="36"/>
          <w:szCs w:val="36"/>
        </w:rPr>
        <w:t>-PAI-) encoded type four secretion system,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t>which</w:t>
      </w:r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 mediates the translocation of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cytotoxin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>-associated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t>gene</w:t>
      </w:r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 A (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CagA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>) into host cells [15, 16].Once translocated into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cells,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CagA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is phosphorylated at one or more tyrosine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phosphorylationmotifs</w:t>
      </w:r>
      <w:proofErr w:type="spellEnd"/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to induce cell pathogenesis [17]. Diversity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within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cag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-PAI is found among people from Eastern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andWestern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parts of the world [18]. Nearly all East Asian isolates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carry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cag</w:t>
      </w:r>
      <w:r w:rsidRPr="00D421A3">
        <w:rPr>
          <w:rFonts w:ascii="MinionPro-Regular" w:eastAsia="MinionPro-Regular" w:cs="MinionPro-Regular"/>
          <w:sz w:val="36"/>
          <w:szCs w:val="36"/>
        </w:rPr>
        <w:t>-PAI, and one-half to two-thirds of the isolates from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Western countries carry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cag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-PAI [19, 20]. Of note,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cagA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,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cagE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>,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and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cagT</w:t>
      </w:r>
      <w:proofErr w:type="spellEnd"/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were found to be </w:t>
      </w:r>
      <w:r w:rsidRPr="00D421A3">
        <w:rPr>
          <w:rFonts w:ascii="MinionPro-Regular" w:eastAsia="MinionPro-Regular" w:cs="MinionPro-Regular"/>
          <w:sz w:val="36"/>
          <w:szCs w:val="36"/>
        </w:rPr>
        <w:lastRenderedPageBreak/>
        <w:t>present in 100% of the domestic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strains isolated from patients in Taiwan [21]. These findings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indicate that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H. pylori </w:t>
      </w:r>
      <w:r w:rsidRPr="00D421A3">
        <w:rPr>
          <w:rFonts w:ascii="MinionPro-Regular" w:eastAsia="MinionPro-Regular" w:cs="MinionPro-Regular"/>
          <w:sz w:val="36"/>
          <w:szCs w:val="36"/>
        </w:rPr>
        <w:t>isolates possess unusually high genetic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heterogeneity and are diverse in different geographic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regions.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H</w:t>
      </w:r>
      <w:proofErr w:type="spellEnd"/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. pylori </w:t>
      </w:r>
      <w:r w:rsidRPr="00D421A3">
        <w:rPr>
          <w:rFonts w:ascii="MinionPro-Regular" w:eastAsia="MinionPro-Regular" w:cs="MinionPro-Regular"/>
          <w:sz w:val="36"/>
          <w:szCs w:val="36"/>
        </w:rPr>
        <w:t>mixed infections have been found to involve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more than one allele of either the s-region or m-region of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vac</w:t>
      </w:r>
      <w:r w:rsidRPr="00D421A3">
        <w:rPr>
          <w:rFonts w:ascii="MinionPro-Regular" w:eastAsia="MinionPro-Regular" w:cs="MinionPro-Regular"/>
          <w:sz w:val="36"/>
          <w:szCs w:val="36"/>
        </w:rPr>
        <w:t>A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[22</w:t>
      </w:r>
      <w:r w:rsidRPr="00D421A3">
        <w:rPr>
          <w:rFonts w:ascii="MinionPro-Regular" w:eastAsia="MinionPro-Regular" w:cs="MinionPro-Regular" w:hint="eastAsia"/>
          <w:sz w:val="36"/>
          <w:szCs w:val="36"/>
        </w:rPr>
        <w:t>–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24].The rates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ofmixed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infectionsmay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differ in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cag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-PAI of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H. </w:t>
      </w:r>
      <w:proofErr w:type="gramStart"/>
      <w:r w:rsidRPr="00D421A3">
        <w:rPr>
          <w:rFonts w:ascii="MinionPro-It" w:eastAsia="MinionPro-It" w:cs="MinionPro-It"/>
          <w:i/>
          <w:iCs/>
          <w:sz w:val="36"/>
          <w:szCs w:val="36"/>
        </w:rPr>
        <w:t>pylori</w:t>
      </w:r>
      <w:proofErr w:type="gramEnd"/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isolated from the corpus and antrum [22] or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there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may be discrepancies in the antimicrobial susceptibility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tests [25]. The rates of mixed infections vary from 0% to 85%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in different populations worldwide [14, 22, 26</w:t>
      </w:r>
      <w:r w:rsidRPr="00D421A3">
        <w:rPr>
          <w:rFonts w:ascii="MinionPro-Regular" w:eastAsia="MinionPro-Regular" w:cs="MinionPro-Regular" w:hint="eastAsia"/>
          <w:sz w:val="36"/>
          <w:szCs w:val="36"/>
        </w:rPr>
        <w:t>–</w:t>
      </w:r>
      <w:r w:rsidRPr="00D421A3">
        <w:rPr>
          <w:rFonts w:ascii="MinionPro-Regular" w:eastAsia="MinionPro-Regular" w:cs="MinionPro-Regular"/>
          <w:sz w:val="36"/>
          <w:szCs w:val="36"/>
        </w:rPr>
        <w:t>28]. However,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the prevalence of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H. pylori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mixed infections isolated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frompatients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in Taiwan remains unknown. In this study, we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characterized six isolates from each patient using genotyping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analysis. The association between mixed infections in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>H.</w:t>
      </w:r>
      <w:r>
        <w:rPr>
          <w:rFonts w:ascii="MinionPro-It" w:eastAsia="MinionPro-It" w:cs="MinionPro-It" w:hint="eastAsia"/>
          <w:i/>
          <w:iCs/>
          <w:sz w:val="36"/>
          <w:szCs w:val="36"/>
          <w:lang w:eastAsia="zh-TW"/>
        </w:rPr>
        <w:t xml:space="preserve">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pylori </w:t>
      </w:r>
      <w:r w:rsidRPr="00D421A3">
        <w:rPr>
          <w:rFonts w:ascii="MinionPro-Regular" w:eastAsia="MinionPro-Regular" w:cs="MinionPro-Regular"/>
          <w:sz w:val="36"/>
          <w:szCs w:val="36"/>
        </w:rPr>
        <w:t>clinical isolates from Taiwanese patients and disease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 w:hint="eastAsia"/>
          <w:sz w:val="36"/>
          <w:szCs w:val="36"/>
          <w:lang w:eastAsia="zh-TW"/>
        </w:rPr>
      </w:pP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t>severity</w:t>
      </w:r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 was assessed.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eastAsia="MinionPro-It" w:hAnsi="Minion-Black" w:cs="Minion-Black" w:hint="eastAsia"/>
          <w:b/>
          <w:bCs/>
          <w:sz w:val="36"/>
          <w:szCs w:val="36"/>
          <w:lang w:eastAsia="zh-TW"/>
        </w:rPr>
      </w:pPr>
    </w:p>
    <w:p w:rsid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eastAsia="MinionPro-It" w:hAnsi="Minion-Black" w:cs="Minion-Black" w:hint="eastAsia"/>
          <w:b/>
          <w:bCs/>
          <w:sz w:val="36"/>
          <w:szCs w:val="36"/>
          <w:lang w:eastAsia="zh-TW"/>
        </w:rPr>
      </w:pPr>
    </w:p>
    <w:p w:rsid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eastAsia="MinionPro-It" w:hAnsi="Minion-Black" w:cs="Minion-Black" w:hint="eastAsia"/>
          <w:b/>
          <w:bCs/>
          <w:sz w:val="36"/>
          <w:szCs w:val="36"/>
          <w:lang w:eastAsia="zh-TW"/>
        </w:rPr>
      </w:pPr>
    </w:p>
    <w:p w:rsid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eastAsia="MinionPro-It" w:hAnsi="Minion-Black" w:cs="Minion-Black" w:hint="eastAsia"/>
          <w:b/>
          <w:bCs/>
          <w:sz w:val="36"/>
          <w:szCs w:val="36"/>
          <w:lang w:eastAsia="zh-TW"/>
        </w:rPr>
      </w:pPr>
    </w:p>
    <w:p w:rsid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eastAsia="MinionPro-It" w:hAnsi="Minion-Black" w:cs="Minion-Black" w:hint="eastAsia"/>
          <w:b/>
          <w:bCs/>
          <w:sz w:val="36"/>
          <w:szCs w:val="36"/>
          <w:lang w:eastAsia="zh-TW"/>
        </w:rPr>
      </w:pPr>
    </w:p>
    <w:p w:rsid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eastAsia="MinionPro-It" w:hAnsi="Minion-Black" w:cs="Minion-Black" w:hint="eastAsia"/>
          <w:b/>
          <w:bCs/>
          <w:sz w:val="36"/>
          <w:szCs w:val="36"/>
          <w:lang w:eastAsia="zh-TW"/>
        </w:rPr>
      </w:pP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-Black" w:eastAsia="MinionPro-It" w:hAnsi="Minion-Black" w:cs="Minion-Black"/>
          <w:b/>
          <w:bCs/>
          <w:sz w:val="36"/>
          <w:szCs w:val="36"/>
        </w:rPr>
      </w:pPr>
      <w:r w:rsidRPr="00D421A3">
        <w:rPr>
          <w:rFonts w:ascii="Minion-Black" w:eastAsia="MinionPro-It" w:hAnsi="Minion-Black" w:cs="Minion-Black"/>
          <w:b/>
          <w:bCs/>
          <w:sz w:val="36"/>
          <w:szCs w:val="36"/>
        </w:rPr>
        <w:t>2. Materials and Methods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2.1. Patient Selection. </w:t>
      </w:r>
      <w:r w:rsidRPr="00D421A3">
        <w:rPr>
          <w:rFonts w:ascii="MinionPro-Regular" w:eastAsia="MinionPro-Regular" w:cs="MinionPro-Regular"/>
          <w:sz w:val="36"/>
          <w:szCs w:val="36"/>
        </w:rPr>
        <w:t>From January 2011 to December 2014,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a total of 70 patients with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H. pylori </w:t>
      </w:r>
      <w:r w:rsidRPr="00D421A3">
        <w:rPr>
          <w:rFonts w:ascii="MinionPro-Regular" w:eastAsia="MinionPro-Regular" w:cs="MinionPro-Regular"/>
          <w:sz w:val="36"/>
          <w:szCs w:val="36"/>
        </w:rPr>
        <w:t>infection were selected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and diagnosed with upper gastrointestinal problems. Patients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were excluded if they presented with any of the following: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unwillingness to give written informed consent; bleeding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tendency; and usage of H</w:t>
      </w:r>
      <w:r w:rsidRPr="00D421A3">
        <w:rPr>
          <w:rFonts w:ascii="MinionMath-Capt" w:eastAsia="MinionMath-Capt" w:cs="MinionMath-Capt"/>
          <w:sz w:val="36"/>
          <w:szCs w:val="36"/>
        </w:rPr>
        <w:t>2</w:t>
      </w:r>
      <w:r w:rsidRPr="00D421A3">
        <w:rPr>
          <w:rFonts w:ascii="MinionPro-Regular" w:eastAsia="MinionPro-Regular" w:cs="MinionPro-Regular"/>
          <w:sz w:val="36"/>
          <w:szCs w:val="36"/>
        </w:rPr>
        <w:t>-receptor antagonists or proton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pump inhibitors within two weeks of enrollment [29].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H.pylori</w:t>
      </w:r>
      <w:proofErr w:type="spellEnd"/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status was assessed by [</w:t>
      </w:r>
      <w:r w:rsidRPr="00D421A3">
        <w:rPr>
          <w:rFonts w:ascii="MinionMath-Capt" w:eastAsia="MinionMath-Capt" w:cs="MinionMath-Capt"/>
          <w:sz w:val="36"/>
          <w:szCs w:val="36"/>
        </w:rPr>
        <w:t>13</w:t>
      </w:r>
      <w:r w:rsidRPr="00D421A3">
        <w:rPr>
          <w:rFonts w:ascii="MinionPro-Regular" w:eastAsia="MinionPro-Regular" w:cs="MinionPro-Regular"/>
          <w:sz w:val="36"/>
          <w:szCs w:val="36"/>
        </w:rPr>
        <w:t>C] urea breath test and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bacterial culture was performed on biopsies before therapy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[30]. Among the enrolled patients, there were 9 patients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with chronic gastritis, 21 with duodenal ulcer, 22 with gastric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ulcer, and 18 with gastric carcinoma.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The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severity of gastroenterological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disorders was evaluated using endoscopic examination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and confirmed by histology as previously described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[29]. All the patients had completed a self-administered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questionnaire prior to being enrolled in the study.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This study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was approved by the Clinical Research Committee of Taipei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lastRenderedPageBreak/>
        <w:t>Medical University, Taipei, Taiwan.</w:t>
      </w:r>
      <w:proofErr w:type="gramEnd"/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2.2. H. pylori Isolates and Bacterial Culture.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Two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biopsie</w:t>
      </w:r>
      <w:proofErr w:type="spellEnd"/>
      <w:r w:rsidRPr="00D421A3"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antrum (lesser curvature side) and another from low body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r w:rsidRPr="00D421A3">
        <w:rPr>
          <w:rFonts w:ascii="MinionPro-Regular" w:eastAsia="MinionPro-Regular" w:cs="MinionPro-Regular"/>
          <w:sz w:val="36"/>
          <w:szCs w:val="36"/>
        </w:rPr>
        <w:t>(</w:t>
      </w: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t>greater</w:t>
      </w:r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 curvature side).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H. pylori </w:t>
      </w:r>
      <w:r w:rsidRPr="00D421A3">
        <w:rPr>
          <w:rFonts w:ascii="MinionPro-Regular" w:eastAsia="MinionPro-Regular" w:cs="MinionPro-Regular"/>
          <w:sz w:val="36"/>
          <w:szCs w:val="36"/>
        </w:rPr>
        <w:t>isolates were cultured from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the biopsies specimen and identified by biochemical reactions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[24].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H. pylori </w:t>
      </w:r>
      <w:r w:rsidRPr="00D421A3">
        <w:rPr>
          <w:rFonts w:ascii="MinionPro-Regular" w:eastAsia="MinionPro-Regular" w:cs="MinionPro-Regular"/>
          <w:sz w:val="36"/>
          <w:szCs w:val="36"/>
        </w:rPr>
        <w:t>were diagnosed with positive reaction in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catalase, urease, and oxidase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tests.The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bacterial isolates were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routinely cultured on Brucella agar plates (Becton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Dickinson,Franklin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Lakes, NJ) with appropriate antimicrobial agents as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described previously [31].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36"/>
          <w:szCs w:val="36"/>
        </w:rPr>
      </w:pPr>
      <w:r w:rsidRPr="00D421A3">
        <w:rPr>
          <w:rFonts w:ascii="MinionPro-It" w:eastAsia="MinionPro-It" w:cs="MinionPro-It"/>
          <w:i/>
          <w:iCs/>
          <w:sz w:val="36"/>
          <w:szCs w:val="36"/>
        </w:rPr>
        <w:t>2.3. Preparation of Genomic DNA and Polymerase Chain Reaction.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r w:rsidRPr="00D421A3">
        <w:rPr>
          <w:rFonts w:ascii="MinionPro-Regular" w:eastAsia="MinionPro-Regular" w:cs="MinionPro-Regular"/>
          <w:sz w:val="36"/>
          <w:szCs w:val="36"/>
        </w:rPr>
        <w:t>After obtaining positive cultures from the biopsies, 6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r w:rsidRPr="00D421A3">
        <w:rPr>
          <w:rFonts w:ascii="MinionPro-Regular" w:eastAsia="MinionPro-Regular" w:cs="MinionPro-Regular"/>
          <w:sz w:val="36"/>
          <w:szCs w:val="36"/>
        </w:rPr>
        <w:t>isolated colonies from a single culture plate were examined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for the genotypes using polymerase chain reaction (PCR)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approach as described previously [29, 30, 32]. Briefly, the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genomic DNA was extracted from the colonies by the sterile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micropestle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in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guanidinium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isothiocyanate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>, and the prepared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DNA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was dissolved in </w:t>
      </w:r>
      <w:r w:rsidRPr="00D421A3">
        <w:rPr>
          <w:rFonts w:ascii="MinionPro-Regular" w:eastAsia="MinionPro-Regular" w:cs="MinionPro-Regular"/>
          <w:sz w:val="36"/>
          <w:szCs w:val="36"/>
        </w:rPr>
        <w:lastRenderedPageBreak/>
        <w:t>10mMTris-HCl (pH8.3). Two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microliters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of the eluted DNA was subjected to each PCR reaction.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Twelve paired primers (Table 1) were then used to amplify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specific DNA fragments. The PCR was performed under the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following condition: 30 cycles at 94</w:t>
      </w:r>
      <w:r w:rsidRPr="00D421A3">
        <w:rPr>
          <w:rFonts w:ascii="MinionMath-Capt" w:eastAsia="MinionMath-Capt" w:cs="MinionMath-Capt" w:hint="eastAsia"/>
          <w:sz w:val="36"/>
          <w:szCs w:val="36"/>
        </w:rPr>
        <w:t>∘</w:t>
      </w:r>
      <w:proofErr w:type="spellStart"/>
      <w:r w:rsidRPr="00D421A3">
        <w:rPr>
          <w:rFonts w:ascii="MinionPro-Regular" w:eastAsia="MinionPro-Regular" w:cs="MinionPro-Regular"/>
          <w:sz w:val="36"/>
          <w:szCs w:val="36"/>
        </w:rPr>
        <w:t>Cfor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 1min, 50.9</w:t>
      </w:r>
      <w:r w:rsidRPr="00D421A3">
        <w:rPr>
          <w:rFonts w:ascii="MinionPro-Regular" w:eastAsia="MinionPro-Regular" w:cs="MinionPro-Regular" w:hint="eastAsia"/>
          <w:sz w:val="36"/>
          <w:szCs w:val="36"/>
        </w:rPr>
        <w:t>–</w:t>
      </w:r>
      <w:r w:rsidRPr="00D421A3">
        <w:rPr>
          <w:rFonts w:ascii="MinionPro-Regular" w:eastAsia="MinionPro-Regular" w:cs="MinionPro-Regular"/>
          <w:sz w:val="36"/>
          <w:szCs w:val="36"/>
        </w:rPr>
        <w:t>63</w:t>
      </w:r>
      <w:r w:rsidRPr="00D421A3">
        <w:rPr>
          <w:rFonts w:ascii="MinionMath-Capt" w:eastAsia="MinionMath-Capt" w:cs="MinionMath-Capt" w:hint="eastAsia"/>
          <w:sz w:val="36"/>
          <w:szCs w:val="36"/>
        </w:rPr>
        <w:t>∘</w:t>
      </w:r>
      <w:r w:rsidRPr="00D421A3">
        <w:rPr>
          <w:rFonts w:ascii="MinionPro-Regular" w:eastAsia="MinionPro-Regular" w:cs="MinionPro-Regular"/>
          <w:sz w:val="36"/>
          <w:szCs w:val="36"/>
        </w:rPr>
        <w:t>C for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r w:rsidRPr="00D421A3">
        <w:rPr>
          <w:rFonts w:ascii="MinionPro-Regular" w:eastAsia="MinionPro-Regular" w:cs="MinionPro-Regular"/>
          <w:sz w:val="36"/>
          <w:szCs w:val="36"/>
        </w:rPr>
        <w:t>2min, 72</w:t>
      </w:r>
      <w:r w:rsidRPr="00D421A3">
        <w:rPr>
          <w:rFonts w:ascii="MinionMath-Capt" w:eastAsia="MinionMath-Capt" w:cs="MinionMath-Capt" w:hint="eastAsia"/>
          <w:sz w:val="36"/>
          <w:szCs w:val="36"/>
        </w:rPr>
        <w:t>∘</w:t>
      </w:r>
      <w:r w:rsidRPr="00D421A3">
        <w:rPr>
          <w:rFonts w:ascii="MinionPro-Regular" w:eastAsia="MinionPro-Regular" w:cs="MinionPro-Regular"/>
          <w:sz w:val="36"/>
          <w:szCs w:val="36"/>
        </w:rPr>
        <w:t>C for 1min, and final extension at 72</w:t>
      </w:r>
      <w:r w:rsidRPr="00D421A3">
        <w:rPr>
          <w:rFonts w:ascii="MinionMath-Capt" w:eastAsia="MinionMath-Capt" w:cs="MinionMath-Capt" w:hint="eastAsia"/>
          <w:sz w:val="36"/>
          <w:szCs w:val="36"/>
        </w:rPr>
        <w:t>∘</w:t>
      </w:r>
      <w:r w:rsidRPr="00D421A3">
        <w:rPr>
          <w:rFonts w:ascii="MinionPro-Regular" w:eastAsia="MinionPro-Regular" w:cs="MinionPro-Regular"/>
          <w:sz w:val="36"/>
          <w:szCs w:val="36"/>
        </w:rPr>
        <w:t>C for 5min.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r w:rsidRPr="00D421A3">
        <w:rPr>
          <w:rFonts w:ascii="MinionPro-Regular" w:eastAsia="MinionPro-Regular" w:cs="MinionPro-Regular"/>
          <w:sz w:val="36"/>
          <w:szCs w:val="36"/>
        </w:rPr>
        <w:t xml:space="preserve">Mixed infection was defined as distinct expression of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cagA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>,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proofErr w:type="spellStart"/>
      <w:proofErr w:type="gramStart"/>
      <w:r w:rsidRPr="00D421A3">
        <w:rPr>
          <w:rFonts w:ascii="MinionPro-It" w:eastAsia="MinionPro-It" w:cs="MinionPro-It"/>
          <w:i/>
          <w:iCs/>
          <w:sz w:val="36"/>
          <w:szCs w:val="36"/>
        </w:rPr>
        <w:t>cagE</w:t>
      </w:r>
      <w:proofErr w:type="spellEnd"/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,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cagT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,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cagM</w:t>
      </w:r>
      <w:proofErr w:type="spellEnd"/>
      <w:r w:rsidRPr="00D421A3">
        <w:rPr>
          <w:rFonts w:ascii="MinionPro-Regular" w:eastAsia="MinionPro-Regular" w:cs="MinionPro-Regular"/>
          <w:sz w:val="36"/>
          <w:szCs w:val="36"/>
        </w:rPr>
        <w:t xml:space="preserve">, and </w:t>
      </w:r>
      <w:proofErr w:type="spellStart"/>
      <w:r w:rsidRPr="00D421A3">
        <w:rPr>
          <w:rFonts w:ascii="MinionPro-It" w:eastAsia="MinionPro-It" w:cs="MinionPro-It"/>
          <w:i/>
          <w:iCs/>
          <w:sz w:val="36"/>
          <w:szCs w:val="36"/>
        </w:rPr>
        <w:t>vacA</w:t>
      </w:r>
      <w:proofErr w:type="spellEnd"/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s- or m-regions among the 6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t>isolates</w:t>
      </w:r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 xml:space="preserve"> isolated from one host.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It" w:eastAsia="MinionPro-It" w:cs="MinionPro-It"/>
          <w:i/>
          <w:iCs/>
          <w:sz w:val="36"/>
          <w:szCs w:val="36"/>
        </w:rPr>
        <w:t xml:space="preserve">2.4. Statistical Analysis. </w:t>
      </w:r>
      <w:r w:rsidRPr="00D421A3">
        <w:rPr>
          <w:rFonts w:ascii="MinionPro-Regular" w:eastAsia="MinionPro-Regular" w:cs="MinionPro-Regular"/>
          <w:sz w:val="36"/>
          <w:szCs w:val="36"/>
        </w:rPr>
        <w:t>The relationship of between-group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comparisons was performed using the Chi-square test with</w:t>
      </w:r>
      <w:r>
        <w:rPr>
          <w:rFonts w:ascii="MinionPro-Regular" w:eastAsia="MinionPro-Regular" w:cs="MinionPro-Regular" w:hint="eastAsia"/>
          <w:sz w:val="36"/>
          <w:szCs w:val="36"/>
          <w:lang w:eastAsia="zh-TW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Fisher</w:t>
      </w:r>
      <w:r w:rsidRPr="00D421A3">
        <w:rPr>
          <w:rFonts w:ascii="MinionPro-Regular" w:eastAsia="MinionPro-Regular" w:cs="MinionPro-Regular" w:hint="eastAsia"/>
          <w:sz w:val="36"/>
          <w:szCs w:val="36"/>
        </w:rPr>
        <w:t>’</w:t>
      </w:r>
      <w:r w:rsidRPr="00D421A3">
        <w:rPr>
          <w:rFonts w:ascii="MinionPro-Regular" w:eastAsia="MinionPro-Regular" w:cs="MinionPro-Regular"/>
          <w:sz w:val="36"/>
          <w:szCs w:val="36"/>
        </w:rPr>
        <w:t xml:space="preserve">s exact test. A </w:t>
      </w:r>
      <w:r w:rsidRPr="00D421A3">
        <w:rPr>
          <w:rFonts w:ascii="Cambria Math" w:eastAsia="MinionMath-Regular" w:hAnsi="Cambria Math" w:cs="Cambria Math"/>
          <w:sz w:val="36"/>
          <w:szCs w:val="36"/>
        </w:rPr>
        <w:t>𝑃</w:t>
      </w:r>
      <w:r w:rsidRPr="00D421A3">
        <w:rPr>
          <w:rFonts w:ascii="MinionMath-Regular" w:eastAsia="MinionMath-Regular" w:cs="MinionMath-Regular"/>
          <w:sz w:val="36"/>
          <w:szCs w:val="36"/>
        </w:rPr>
        <w:t xml:space="preserve"> </w:t>
      </w:r>
      <w:r w:rsidRPr="00D421A3">
        <w:rPr>
          <w:rFonts w:ascii="MinionPro-Regular" w:eastAsia="MinionPro-Regular" w:cs="MinionPro-Regular"/>
          <w:sz w:val="36"/>
          <w:szCs w:val="36"/>
        </w:rPr>
        <w:t>value of less than 0.05 was considered</w:t>
      </w:r>
    </w:p>
    <w:p w:rsidR="00D421A3" w:rsidRPr="00D421A3" w:rsidRDefault="00D421A3" w:rsidP="00D421A3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36"/>
          <w:szCs w:val="36"/>
        </w:rPr>
      </w:pPr>
      <w:proofErr w:type="gramStart"/>
      <w:r w:rsidRPr="00D421A3">
        <w:rPr>
          <w:rFonts w:ascii="MinionPro-Regular" w:eastAsia="MinionPro-Regular" w:cs="MinionPro-Regular"/>
          <w:sz w:val="36"/>
          <w:szCs w:val="36"/>
        </w:rPr>
        <w:t>significant</w:t>
      </w:r>
      <w:proofErr w:type="gramEnd"/>
      <w:r w:rsidRPr="00D421A3">
        <w:rPr>
          <w:rFonts w:ascii="MinionPro-Regular" w:eastAsia="MinionPro-Regular" w:cs="MinionPro-Regular"/>
          <w:sz w:val="36"/>
          <w:szCs w:val="36"/>
        </w:rPr>
        <w:t>.</w:t>
      </w:r>
    </w:p>
    <w:p w:rsidR="00D421A3" w:rsidRDefault="00D421A3" w:rsidP="00D421A3">
      <w:pPr>
        <w:rPr>
          <w:rFonts w:ascii="Minion-Black" w:eastAsia="MinionPro-Regular" w:hAnsi="Minion-Black" w:cs="Minion-Black" w:hint="eastAsia"/>
          <w:b/>
          <w:bCs/>
          <w:sz w:val="36"/>
          <w:szCs w:val="36"/>
          <w:lang w:eastAsia="zh-TW"/>
        </w:rPr>
      </w:pPr>
      <w:r w:rsidRPr="00D421A3">
        <w:rPr>
          <w:rFonts w:ascii="Minion-Black" w:eastAsia="MinionPro-Regular" w:hAnsi="Minion-Black" w:cs="Minion-Black" w:hint="eastAsia"/>
          <w:b/>
          <w:bCs/>
          <w:sz w:val="36"/>
          <w:szCs w:val="36"/>
          <w:lang w:eastAsia="zh-TW"/>
        </w:rPr>
        <w:t xml:space="preserve"> </w:t>
      </w:r>
    </w:p>
    <w:p w:rsidR="00AA3252" w:rsidRDefault="00AA3252" w:rsidP="00D421A3">
      <w:pPr>
        <w:rPr>
          <w:rFonts w:ascii="Minion-Black" w:eastAsia="MinionPro-Regular" w:hAnsi="Minion-Black" w:cs="Minion-Black" w:hint="eastAsia"/>
          <w:b/>
          <w:bCs/>
          <w:sz w:val="36"/>
          <w:szCs w:val="36"/>
          <w:lang w:eastAsia="zh-TW"/>
        </w:rPr>
      </w:pP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Table 1: PCR primers used in this study.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Gene Primer Nucleotide sequence (5</w:t>
      </w:r>
      <w:r>
        <w:rPr>
          <w:rFonts w:ascii="Arial Unicode MS" w:eastAsia="Arial Unicode MS" w:hAnsi="Arial Unicode MS" w:cs="Arial Unicode MS" w:hint="eastAsia"/>
          <w:sz w:val="12"/>
          <w:szCs w:val="12"/>
        </w:rPr>
        <w:t>󸀠</w:t>
      </w:r>
      <w:r>
        <w:rPr>
          <w:rFonts w:ascii="MinionPro-Regular" w:eastAsia="MinionPro-Regular" w:cs="MinionPro-Regular"/>
          <w:sz w:val="18"/>
          <w:szCs w:val="18"/>
        </w:rPr>
        <w:t>-3</w:t>
      </w:r>
      <w:r>
        <w:rPr>
          <w:rFonts w:ascii="Arial Unicode MS" w:eastAsia="Arial Unicode MS" w:hAnsi="Arial Unicode MS" w:cs="Arial Unicode MS" w:hint="eastAsia"/>
          <w:sz w:val="12"/>
          <w:szCs w:val="12"/>
        </w:rPr>
        <w:t>󸀠</w:t>
      </w:r>
      <w:r>
        <w:rPr>
          <w:rFonts w:ascii="MinionPro-Regular" w:eastAsia="MinionPro-Regular" w:cs="MinionPro-Regular"/>
          <w:sz w:val="18"/>
          <w:szCs w:val="18"/>
        </w:rPr>
        <w:t>) Length of PCR product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cag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A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-F GATAACAGGCAAGCTTTTGAGG 349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cagA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-R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CTGCAAAAGATTGTTTGGCAGA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cag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E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cagE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-F GTTACATCAAAAATAAAAGGAAGCG 735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cagE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-R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CAATAATTTTGAAGAGTTTCAAAGC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cag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T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cagT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-F TCTAAAAAGATTACGCTCATAGGCG 490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cagT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-R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CTTTGGCTTGCATGTTCAAGTTGCC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cag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M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cagM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-F ACAAATACAAAAAAGAAAAAGAGGC 587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cagM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-R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ATTTTTCAACAAGTTAGAAAAAGCC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s1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and s2 </w:t>
      </w:r>
      <w:r>
        <w:rPr>
          <w:rFonts w:ascii="MinionPro-Regular" w:eastAsia="MinionPro-Regular" w:cs="MinionPro-Regular"/>
          <w:sz w:val="18"/>
          <w:szCs w:val="18"/>
        </w:rPr>
        <w:t>VA1-F ATGGAAATACAACAAACACACC 259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lastRenderedPageBreak/>
        <w:t>VA1-R CTGCTTGAATGCGCCAAACTTTATC 286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s1a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>SS1-F GTCAGCATCACACCGCAAC 190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s1b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>SS3-F AGCGCCATACCGCAAGAG 187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s1c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>S1C-F CTTGCTTTAGTTGGGTTA 213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m1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>VA3-F GGTCAAAATGCGGTCATGG 290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VA3-R CCATTGGTACCTGTAGAAAC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m1T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>m1T-F GGTCAAAATGCGGTCATGG 290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m1T-R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CTCTTAGTGCCTAAAGAAACA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m2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>VA4-F GGAGCCCCAGGAAACATTG 352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 w:hint="eastAsia"/>
          <w:sz w:val="18"/>
          <w:szCs w:val="18"/>
          <w:lang w:eastAsia="zh-TW"/>
        </w:rPr>
      </w:pPr>
      <w:r>
        <w:rPr>
          <w:rFonts w:ascii="MinionPro-Regular" w:eastAsia="MinionPro-Regular" w:cs="MinionPro-Regular"/>
          <w:sz w:val="18"/>
          <w:szCs w:val="18"/>
        </w:rPr>
        <w:t>VA4-R CATAACTAGCGCCTTGCAC</w:t>
      </w:r>
      <w:r>
        <w:rPr>
          <w:rFonts w:ascii="MinionPro-Regular" w:eastAsia="MinionPro-Regular" w:cs="MinionPro-Regular" w:hint="eastAsia"/>
          <w:sz w:val="18"/>
          <w:szCs w:val="18"/>
          <w:lang w:eastAsia="zh-TW"/>
        </w:rPr>
        <w:t xml:space="preserve"> 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 w:hint="eastAsia"/>
          <w:sz w:val="18"/>
          <w:szCs w:val="18"/>
          <w:lang w:eastAsia="zh-TW"/>
        </w:rPr>
      </w:pP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 w:hint="eastAsia"/>
          <w:sz w:val="18"/>
          <w:szCs w:val="18"/>
          <w:lang w:eastAsia="zh-TW"/>
        </w:rPr>
      </w:pP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[1]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B.Marshall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  <w:r>
        <w:rPr>
          <w:rFonts w:ascii="MinionPro-Regular" w:eastAsia="MinionPro-Regular" w:cs="MinionPro-Regular"/>
          <w:sz w:val="18"/>
          <w:szCs w:val="18"/>
        </w:rPr>
        <w:t>: 20Yearson,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ClinicalMedicine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vol. 2, no. 2, pp. 147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152, 2002.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[2] D. B. Polk and R. M. Peek Jr.,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  <w:r>
        <w:rPr>
          <w:rFonts w:ascii="MinionPro-Regular" w:eastAsia="MinionPro-Regular" w:cs="MinionPro-Regular"/>
          <w:sz w:val="18"/>
          <w:szCs w:val="18"/>
        </w:rPr>
        <w:t>: gastric cancer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and beyond,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Nature Reviews Cancer</w:t>
      </w:r>
      <w:r>
        <w:rPr>
          <w:rFonts w:ascii="MinionPro-Regular" w:eastAsia="MinionPro-Regular" w:cs="MinionPro-Regular"/>
          <w:sz w:val="18"/>
          <w:szCs w:val="18"/>
        </w:rPr>
        <w:t>, vol. 10, no. 6, pp. 403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414,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2010.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[3] C.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Wunder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Y.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Churin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F.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Winau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Cholesterol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glucosylation</w:t>
      </w:r>
      <w:proofErr w:type="spell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promotes immune evasion by 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  <w:r>
        <w:rPr>
          <w:rFonts w:ascii="MinionPro-Regular" w:eastAsia="MinionPro-Regular" w:cs="MinionPro-Regular"/>
          <w:sz w:val="18"/>
          <w:szCs w:val="18"/>
        </w:rPr>
        <w:t>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Nature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Medicine</w:t>
      </w:r>
      <w:r>
        <w:rPr>
          <w:rFonts w:ascii="MinionPro-Regular" w:eastAsia="MinionPro-Regular" w:cs="MinionPro-Regular"/>
          <w:sz w:val="18"/>
          <w:szCs w:val="18"/>
        </w:rPr>
        <w:t>, vol. 12, no. 9, pp. 1030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1038, 2006.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[4] D.-Y.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Lu, C.-H.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Tang, C.-H.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Chang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attenuates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lipopolysaccharide-induced nitric oxide production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by murine macrophages,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Innate Immunity</w:t>
      </w:r>
      <w:r>
        <w:rPr>
          <w:rFonts w:ascii="MinionPro-Regular" w:eastAsia="MinionPro-Regular" w:cs="MinionPro-Regular"/>
          <w:sz w:val="18"/>
          <w:szCs w:val="18"/>
        </w:rPr>
        <w:t xml:space="preserve">, vol.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18, no. 3, pp.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406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417, 2012.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[5] B.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Gebert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W. Fischer, E. Weiss, R. Hoffmann, and R. Haas,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vacuolating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cytotoxin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inhibits T lymphocyte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activation,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Science</w:t>
      </w:r>
      <w:r>
        <w:rPr>
          <w:rFonts w:ascii="MinionPro-Regular" w:eastAsia="MinionPro-Regular" w:cs="MinionPro-Regular"/>
          <w:sz w:val="18"/>
          <w:szCs w:val="18"/>
        </w:rPr>
        <w:t xml:space="preserve">, vol.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301, no. 5636, pp. 1099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1102, 2003.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[6] N.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Ramarao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S.D.Gray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-Owen, S.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Backert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andT.F.Meyer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It" w:eastAsia="MinionPro-It" w:cs="MinionPro-It"/>
          <w:i/>
          <w:iCs/>
          <w:sz w:val="18"/>
          <w:szCs w:val="18"/>
        </w:rPr>
        <w:t>Helicobacter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pylori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>inhibits phagocytosis by professional phagocytes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involving type IV secretion components,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Molecular Microbiology</w:t>
      </w:r>
      <w:r>
        <w:rPr>
          <w:rFonts w:ascii="MinionPro-Regular" w:eastAsia="MinionPro-Regular" w:cs="MinionPro-Regular"/>
          <w:sz w:val="18"/>
          <w:szCs w:val="18"/>
        </w:rPr>
        <w:t>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vol. 37, no. 6, pp. 1389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1404, 2000.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[7] J.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Mahdavi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B.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Sond</w:t>
      </w:r>
      <w:proofErr w:type="spellEnd"/>
      <w:r>
        <w:rPr>
          <w:rFonts w:ascii="MinionPro-Regular" w:eastAsia="MinionPro-Regular" w:cs="MinionPro-Regular" w:hint="eastAsia"/>
          <w:sz w:val="18"/>
          <w:szCs w:val="18"/>
        </w:rPr>
        <w:t>′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en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M.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Hurtig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spellStart"/>
      <w:r>
        <w:rPr>
          <w:rFonts w:ascii="MinionPro-Regular" w:eastAsia="MinionPro-Regular" w:cs="MinionPro-Regular"/>
          <w:sz w:val="18"/>
          <w:szCs w:val="18"/>
        </w:rPr>
        <w:t>SabA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adhesin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in persistent infection and chronic inflammation,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Science</w:t>
      </w:r>
      <w:r>
        <w:rPr>
          <w:rFonts w:ascii="MinionPro-Regular" w:eastAsia="MinionPro-Regular" w:cs="MinionPro-Regular"/>
          <w:sz w:val="18"/>
          <w:szCs w:val="18"/>
        </w:rPr>
        <w:t>, vol. 297, no. 5581, pp. 573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578, 2002.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[8] P.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Lupetti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J. E. Heuser, R.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Manetti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Oligomeric and subunit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structure of the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vacuolating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cytotoxin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Journal of Cell Biology</w:t>
      </w:r>
      <w:r>
        <w:rPr>
          <w:rFonts w:ascii="MinionPro-Regular" w:eastAsia="MinionPro-Regular" w:cs="MinionPro-Regular"/>
          <w:sz w:val="18"/>
          <w:szCs w:val="18"/>
        </w:rPr>
        <w:t>, vol. 133, no. 4, pp. 801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807, 1996.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[9] D.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Ilver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S. Barone, D.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Mercati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P.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Lupetti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and J. L. Telford,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 xml:space="preserve">toxin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VacA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is transferred to host cells via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a novel contact-dependent mechanism,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Cellular Microbiology</w:t>
      </w:r>
      <w:r>
        <w:rPr>
          <w:rFonts w:ascii="MinionPro-Regular" w:eastAsia="MinionPro-Regular" w:cs="MinionPro-Regular"/>
          <w:sz w:val="18"/>
          <w:szCs w:val="18"/>
        </w:rPr>
        <w:t>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vol. 6, no. 2, pp. 167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174, 2004.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lastRenderedPageBreak/>
        <w:t xml:space="preserve">[10] J. C. Atherton, P. Cao, R. M. Peek Jr., M. K. R.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Tummuru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M.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J.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Blaser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and T. L. Cover,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Mosaicism in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vacuolating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cytotoxin</w:t>
      </w:r>
      <w:proofErr w:type="spell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alleles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of 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  <w:r>
        <w:rPr>
          <w:rFonts w:ascii="MinionPro-Regular" w:eastAsia="MinionPro-Regular" w:cs="MinionPro-Regular"/>
          <w:sz w:val="18"/>
          <w:szCs w:val="18"/>
        </w:rPr>
        <w:t xml:space="preserve">. Association of specific 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vacA</w:t>
      </w:r>
      <w:proofErr w:type="spell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>types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with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cytotoxin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production and peptic ulceration,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The Journal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of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Biological Chemistry</w:t>
      </w:r>
      <w:r>
        <w:rPr>
          <w:rFonts w:ascii="MinionPro-Regular" w:eastAsia="MinionPro-Regular" w:cs="MinionPro-Regular"/>
          <w:sz w:val="18"/>
          <w:szCs w:val="18"/>
        </w:rPr>
        <w:t>, vol. 270, no. 30, pp. 17771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17777, 1995.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[11] Y. Ito, T. Azuma, S. Ito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Analysis and typing of the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vacA</w:t>
      </w:r>
      <w:proofErr w:type="spell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gene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from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-positive strains of Helicobacter pylori isolated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in Japan,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Journal of 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ClinicalMicrobiology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vol. 35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,no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>. 7, pp. 1710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1714, 1997.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[12]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S.Maeda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K. Ogura, H. Yoshida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Major virulence factors,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proofErr w:type="spellStart"/>
      <w:r>
        <w:rPr>
          <w:rFonts w:ascii="MinionPro-Regular" w:eastAsia="MinionPro-Regular" w:cs="MinionPro-Regular"/>
          <w:sz w:val="18"/>
          <w:szCs w:val="18"/>
        </w:rPr>
        <w:t>VacA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and </w:t>
      </w: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CagA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are commonly positive in 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isolates in Japan,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Gut</w:t>
      </w:r>
      <w:r>
        <w:rPr>
          <w:rFonts w:ascii="MinionPro-Regular" w:eastAsia="MinionPro-Regular" w:cs="MinionPro-Regular"/>
          <w:sz w:val="18"/>
          <w:szCs w:val="18"/>
        </w:rPr>
        <w:t xml:space="preserve">, vol.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42, no. 3, pp. 338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343, 1998.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[13] H.-J.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Wang, C.-H.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Kuo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A. A. M.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Yeh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P. C. L. Chang, and W.-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C. Wang,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Vacuolating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toxin production in clinical isolates of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 xml:space="preserve">with different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vacA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genotypes,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Journal of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Infectious Diseases</w:t>
      </w:r>
      <w:r>
        <w:rPr>
          <w:rFonts w:ascii="MinionPro-Regular" w:eastAsia="MinionPro-Regular" w:cs="MinionPro-Regular"/>
          <w:sz w:val="18"/>
          <w:szCs w:val="18"/>
        </w:rPr>
        <w:t>, vol. 178, no. 1, pp. 207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212, 1998.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[14] L.-J. Van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Doorn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C.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Figueiredo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F.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Megraud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Geographic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distribution of 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vacA</w:t>
      </w:r>
      <w:proofErr w:type="spell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 xml:space="preserve">allelic types of 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  <w:r>
        <w:rPr>
          <w:rFonts w:ascii="MinionPro-Regular" w:eastAsia="MinionPro-Regular" w:cs="MinionPro-Regular"/>
          <w:sz w:val="18"/>
          <w:szCs w:val="18"/>
        </w:rPr>
        <w:t>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Gastroenterology</w:t>
      </w:r>
      <w:r>
        <w:rPr>
          <w:rFonts w:ascii="MinionPro-Regular" w:eastAsia="MinionPro-Regular" w:cs="MinionPro-Regular"/>
          <w:sz w:val="18"/>
          <w:szCs w:val="18"/>
        </w:rPr>
        <w:t>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vol. 116, no. 4, pp. 823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830, 1999.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[15] S.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Odenbreit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J.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P</w:t>
      </w:r>
      <w:r>
        <w:rPr>
          <w:rFonts w:ascii="MinionPro-Regular" w:eastAsia="MinionPro-Regular" w:cs="MinionPro-Regular"/>
          <w:sz w:val="18"/>
          <w:szCs w:val="18"/>
        </w:rPr>
        <w:t>¨</w:t>
      </w:r>
      <w:r>
        <w:rPr>
          <w:rFonts w:ascii="MinionPro-Regular" w:eastAsia="MinionPro-Regular" w:cs="MinionPro-Regular"/>
          <w:sz w:val="18"/>
          <w:szCs w:val="18"/>
        </w:rPr>
        <w:t>uls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B.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Sedlmaier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E.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Gerland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W. Fischer, and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R. Haas,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Translocation of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into gastric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epithelial cells by type IV secretion,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Science</w:t>
      </w:r>
      <w:r>
        <w:rPr>
          <w:rFonts w:ascii="MinionPro-Regular" w:eastAsia="MinionPro-Regular" w:cs="MinionPro-Regular"/>
          <w:sz w:val="18"/>
          <w:szCs w:val="18"/>
        </w:rPr>
        <w:t>, vol. 287, no. 5457,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pp. 1497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1500, 2000.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[16] E. D. Segal, J. Cha, J. Lo, S.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Falkow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and L. S. Tompkins,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Altered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states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: involvement of phosphorylated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in the induction of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host cellular growth changes by 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  <w:r>
        <w:rPr>
          <w:rFonts w:ascii="MinionPro-Regular" w:eastAsia="MinionPro-Regular" w:cs="MinionPro-Regular"/>
          <w:sz w:val="18"/>
          <w:szCs w:val="18"/>
        </w:rPr>
        <w:t>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Proceedings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of</w:t>
      </w:r>
      <w:proofErr w:type="gramEnd"/>
      <w:r>
        <w:rPr>
          <w:rFonts w:ascii="MinionPro-It" w:eastAsia="MinionPro-It" w:cs="MinionPro-It"/>
          <w:i/>
          <w:iCs/>
          <w:sz w:val="18"/>
          <w:szCs w:val="18"/>
        </w:rPr>
        <w:t xml:space="preserve"> the National Academy of Sciences of the United States of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America</w:t>
      </w:r>
      <w:r>
        <w:rPr>
          <w:rFonts w:ascii="MinionPro-Regular" w:eastAsia="MinionPro-Regular" w:cs="MinionPro-Regular"/>
          <w:sz w:val="18"/>
          <w:szCs w:val="18"/>
        </w:rPr>
        <w:t>, vol. 96, no. 25, pp. 14559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14564, 1999.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 xml:space="preserve">[17] S.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Backert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N.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Tegtmeyer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andW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Fischer,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Composition, structure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and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function of the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cag pathogenicity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island encoded type IV secretion system,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Future Microbiology</w:t>
      </w:r>
      <w:r>
        <w:rPr>
          <w:rFonts w:ascii="MinionPro-Regular" w:eastAsia="MinionPro-Regular" w:cs="MinionPro-Regular"/>
          <w:sz w:val="18"/>
          <w:szCs w:val="18"/>
        </w:rPr>
        <w:t>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vol. 10, no. 6, pp. 955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965, 2015.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[18] P.-I.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Hsu, I.-R.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Hwang, D.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Cittelly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Clinical presentation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in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relation to diversity within the 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 cag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pathogenicity island,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American Journal 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ofGastroenterology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vol.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97, no. 9, pp. 2231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2238, 2002.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[19]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F.Kauser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,A.A.Khan</w:t>
      </w:r>
      <w:proofErr w:type="spellEnd"/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, M.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A.Hussain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Thecag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pathogenicity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island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of Helicobacter pylori is disrupted in the majority of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patient isolates from different human populations,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Journal of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Clinical Microbiology</w:t>
      </w:r>
      <w:r>
        <w:rPr>
          <w:rFonts w:ascii="MinionPro-Regular" w:eastAsia="MinionPro-Regular" w:cs="MinionPro-Regular"/>
          <w:sz w:val="18"/>
          <w:szCs w:val="18"/>
        </w:rPr>
        <w:t>, vol. 42, no. 11, pp. 5302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5308, 2004.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[20] M. Ali, A. A. Khan, S. K. Tiwari, N. Ahmed, L. V. Rao, and C.M.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spellStart"/>
      <w:r>
        <w:rPr>
          <w:rFonts w:ascii="MinionPro-Regular" w:eastAsia="MinionPro-Regular" w:cs="MinionPro-Regular"/>
          <w:sz w:val="18"/>
          <w:szCs w:val="18"/>
        </w:rPr>
        <w:lastRenderedPageBreak/>
        <w:t>Habibullah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Association between </w:t>
      </w:r>
      <w:r>
        <w:rPr>
          <w:rFonts w:ascii="MinionPro-It" w:eastAsia="MinionPro-It" w:cs="MinionPro-It"/>
          <w:i/>
          <w:iCs/>
          <w:sz w:val="18"/>
          <w:szCs w:val="18"/>
        </w:rPr>
        <w:t>cag</w:t>
      </w:r>
      <w:r>
        <w:rPr>
          <w:rFonts w:ascii="MinionPro-Regular" w:eastAsia="MinionPro-Regular" w:cs="MinionPro-Regular"/>
          <w:sz w:val="18"/>
          <w:szCs w:val="18"/>
        </w:rPr>
        <w:t>-pathogenicity island in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 xml:space="preserve">isolates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frompeptic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ulcer, gastric carcinoma,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and non-ulcer dyspepsia subjects with histological changes,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It" w:eastAsia="MinionPro-It" w:cs="MinionPro-It"/>
          <w:i/>
          <w:iCs/>
          <w:sz w:val="18"/>
          <w:szCs w:val="18"/>
        </w:rPr>
        <w:t>World Journal of Gastroenterology</w:t>
      </w:r>
      <w:r>
        <w:rPr>
          <w:rFonts w:ascii="MinionPro-Regular" w:eastAsia="MinionPro-Regular" w:cs="MinionPro-Regular"/>
          <w:sz w:val="18"/>
          <w:szCs w:val="18"/>
        </w:rPr>
        <w:t>, vol. 11, no. 43, pp. 6815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6822,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2005.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[21] S.-M. </w:t>
      </w: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Sheu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B.-S.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Sheu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H.-B.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Yang, C. Li, T.-C.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Chu,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and J.-J.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Wu,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Presence of iceA1 but not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cagC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cagE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cagF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cagN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spellStart"/>
      <w:r>
        <w:rPr>
          <w:rFonts w:ascii="MinionPro-Regular" w:eastAsia="MinionPro-Regular" w:cs="MinionPro-Regular"/>
          <w:sz w:val="18"/>
          <w:szCs w:val="18"/>
        </w:rPr>
        <w:t>cagT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or orf13 genes of helicobacter pylori is associated with</w:t>
      </w:r>
      <w:r>
        <w:rPr>
          <w:rFonts w:ascii="MinionPro-Regular" w:eastAsia="MinionPro-Regular" w:cs="MinionPro-Regular" w:hint="eastAsia"/>
          <w:sz w:val="18"/>
          <w:szCs w:val="18"/>
          <w:lang w:eastAsia="zh-TW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Formosan Medical Association</w:t>
      </w:r>
      <w:r>
        <w:rPr>
          <w:rFonts w:ascii="MinionPro-Regular" w:eastAsia="MinionPro-Regular" w:cs="MinionPro-Regular"/>
          <w:sz w:val="18"/>
          <w:szCs w:val="18"/>
        </w:rPr>
        <w:t>, vol. 101, no. 1, pp. 18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23, 2002.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[22] E. E.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Hennig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L.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Trzeciak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J. Regula, E.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Butruk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and J.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Ostrowski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 w:hint="eastAsia"/>
          <w:sz w:val="18"/>
          <w:szCs w:val="18"/>
        </w:rPr>
        <w:t>“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vacA</w:t>
      </w:r>
      <w:proofErr w:type="spell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>genotyping directly from gastric biopsy specimens and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estimation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of mixed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infections in patients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with duodenal ulcer and gastritis,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Scandinavian Journal of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Gastroenterology</w:t>
      </w:r>
      <w:r>
        <w:rPr>
          <w:rFonts w:ascii="MinionPro-Regular" w:eastAsia="MinionPro-Regular" w:cs="MinionPro-Regular"/>
          <w:sz w:val="18"/>
          <w:szCs w:val="18"/>
        </w:rPr>
        <w:t>, vol. 34, no. 8, pp. 743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749, 1999.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[23] S.-Y.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 xml:space="preserve">Kim,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C.W.Woo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Y.-M.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Lee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Genotyping 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CagA</w:t>
      </w:r>
      <w:proofErr w:type="spellEnd"/>
      <w:r>
        <w:rPr>
          <w:rFonts w:ascii="MinionPro-It" w:eastAsia="MinionPro-It" w:cs="MinionPro-It"/>
          <w:i/>
          <w:iCs/>
          <w:sz w:val="18"/>
          <w:szCs w:val="18"/>
        </w:rPr>
        <w:t xml:space="preserve">, 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VacA</w:t>
      </w:r>
      <w:proofErr w:type="spell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subtype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r>
        <w:rPr>
          <w:rFonts w:ascii="MinionPro-It" w:eastAsia="MinionPro-It" w:cs="MinionPro-It"/>
          <w:i/>
          <w:iCs/>
          <w:sz w:val="18"/>
          <w:szCs w:val="18"/>
        </w:rPr>
        <w:t>IceA1</w:t>
      </w:r>
      <w:r>
        <w:rPr>
          <w:rFonts w:ascii="MinionPro-Regular" w:eastAsia="MinionPro-Regular" w:cs="MinionPro-Regular"/>
          <w:sz w:val="18"/>
          <w:szCs w:val="18"/>
        </w:rPr>
        <w:t xml:space="preserve">, and 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BabA</w:t>
      </w:r>
      <w:proofErr w:type="spellEnd"/>
      <w:r>
        <w:rPr>
          <w:rFonts w:ascii="MinionPro-It" w:eastAsia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" w:eastAsia="MinionPro-Regular" w:cs="MinionPro-Regular"/>
          <w:sz w:val="18"/>
          <w:szCs w:val="18"/>
        </w:rPr>
        <w:t xml:space="preserve">of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isolates from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Korean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patients,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and their association with gastroduodenal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diseases,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Journal of Korean Medical Science</w:t>
      </w:r>
      <w:r>
        <w:rPr>
          <w:rFonts w:ascii="MinionPro-Regular" w:eastAsia="MinionPro-Regular" w:cs="MinionPro-Regular"/>
          <w:sz w:val="18"/>
          <w:szCs w:val="18"/>
        </w:rPr>
        <w:t xml:space="preserve">, vol.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16, no. 5, pp.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579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584, 2001.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[24] C.-H.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Lai, C.-H.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Kuo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P.-Y.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Chen, S.-K.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Poon, C.-S.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Chang, and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W.-C. Wang,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Association of antibiotic resistance and higher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internalization activity in resistant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isolates,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It" w:eastAsia="MinionPro-It" w:cs="MinionPro-It"/>
          <w:i/>
          <w:iCs/>
          <w:sz w:val="18"/>
          <w:szCs w:val="18"/>
        </w:rPr>
        <w:t>Journal of Antimicrobial Chemotherapy</w:t>
      </w:r>
      <w:r>
        <w:rPr>
          <w:rFonts w:ascii="MinionPro-Regular" w:eastAsia="MinionPro-Regular" w:cs="MinionPro-Regular"/>
          <w:sz w:val="18"/>
          <w:szCs w:val="18"/>
        </w:rPr>
        <w:t>, vol. 57, no. 3, pp. 466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471, 2006.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[25] F.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Perna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L.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Gatta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,N</w:t>
      </w:r>
      <w:proofErr w:type="spellEnd"/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Figura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et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Susceptibility of </w:t>
      </w:r>
      <w:r>
        <w:rPr>
          <w:rFonts w:ascii="MinionPro-It" w:eastAsia="MinionPro-It" w:cs="MinionPro-It"/>
          <w:i/>
          <w:iCs/>
          <w:sz w:val="18"/>
          <w:szCs w:val="18"/>
        </w:rPr>
        <w:t>Helicobacter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It" w:eastAsia="MinionPro-It" w:cs="MinionPro-It"/>
          <w:i/>
          <w:iCs/>
          <w:sz w:val="18"/>
          <w:szCs w:val="18"/>
        </w:rPr>
        <w:t xml:space="preserve">pylori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toMetronidazole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American Journal of Gastroenterology</w:t>
      </w:r>
      <w:r>
        <w:rPr>
          <w:rFonts w:ascii="MinionPro-Regular" w:eastAsia="MinionPro-Regular" w:cs="MinionPro-Regular"/>
          <w:sz w:val="18"/>
          <w:szCs w:val="18"/>
        </w:rPr>
        <w:t>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vol. 98, no. 10, pp. 2157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2161, 2003.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[26] M. Singh, K. N. Prasad, S. K.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Yachha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and N.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Krishnani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Genotypes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of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in children with upper abdominal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pain,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Journal of Gastroenterology and Hepatology</w:t>
      </w:r>
      <w:r>
        <w:rPr>
          <w:rFonts w:ascii="MinionPro-Regular" w:eastAsia="MinionPro-Regular" w:cs="MinionPro-Regular"/>
          <w:sz w:val="18"/>
          <w:szCs w:val="18"/>
        </w:rPr>
        <w:t>, vol. 18, no. 9,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pp. 1018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1023, 2003.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[27] Y. S. Kim, N. Kim, J. M.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Kimet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al.,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genotyping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findings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frommultiple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cultured isolates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andmucosal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 biopsy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specimens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: Strain diversities of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isolates in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individual hosts,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European Journal of Gastroenterology and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It" w:eastAsia="MinionPro-It" w:cs="MinionPro-It"/>
          <w:i/>
          <w:iCs/>
          <w:sz w:val="18"/>
          <w:szCs w:val="18"/>
        </w:rPr>
        <w:t>Hepatology</w:t>
      </w:r>
      <w:r>
        <w:rPr>
          <w:rFonts w:ascii="MinionPro-Regular" w:eastAsia="MinionPro-Regular" w:cs="MinionPro-Regular"/>
          <w:sz w:val="18"/>
          <w:szCs w:val="18"/>
        </w:rPr>
        <w:t>, vol. 21, no. 5, pp. 522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528, 2009.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[28] S.-M. </w:t>
      </w: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Sheu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B.-S.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Sheu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C.-C.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Lu, H.-B.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Yang,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and J.-J. Wu,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Mixed infections of </w:t>
      </w:r>
      <w:r>
        <w:rPr>
          <w:rFonts w:ascii="MinionPro-It" w:eastAsia="MinionPro-It" w:cs="MinionPro-It"/>
          <w:i/>
          <w:iCs/>
          <w:sz w:val="18"/>
          <w:szCs w:val="18"/>
        </w:rPr>
        <w:t>Helicobacter pylori</w:t>
      </w:r>
      <w:r>
        <w:rPr>
          <w:rFonts w:ascii="MinionPro-Regular" w:eastAsia="MinionPro-Regular" w:cs="MinionPro-Regular"/>
          <w:sz w:val="18"/>
          <w:szCs w:val="18"/>
        </w:rPr>
        <w:t>: tissue tropism and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histological significance,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Clinical Microbiology and Infection</w:t>
      </w:r>
      <w:r>
        <w:rPr>
          <w:rFonts w:ascii="MinionPro-Regular" w:eastAsia="MinionPro-Regular" w:cs="MinionPro-Regular"/>
          <w:sz w:val="18"/>
          <w:szCs w:val="18"/>
        </w:rPr>
        <w:t>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vol. 15, no. 3, pp. 253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  <w:r>
        <w:rPr>
          <w:rFonts w:ascii="MinionPro-Regular" w:eastAsia="MinionPro-Regular" w:cs="MinionPro-Regular"/>
          <w:sz w:val="18"/>
          <w:szCs w:val="18"/>
        </w:rPr>
        <w:t>259, 2009.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[29] C.-H.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Lai, C.-L.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Perng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K.-H.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Lan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, and H.-J. Lin,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Association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lastRenderedPageBreak/>
        <w:t>of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IS605 and cag -PAI of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isolated from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It" w:eastAsia="MinionPro-It" w:cs="MinionPro-It"/>
          <w:i/>
          <w:iCs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patients with gastrointestinal diseases in Taiwan,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It" w:eastAsia="MinionPro-It" w:cs="MinionPro-It"/>
          <w:i/>
          <w:iCs/>
          <w:sz w:val="18"/>
          <w:szCs w:val="18"/>
        </w:rPr>
        <w:t>Gastroenterology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It" w:eastAsia="MinionPro-It" w:cs="MinionPro-It"/>
          <w:i/>
          <w:iCs/>
          <w:sz w:val="18"/>
          <w:szCs w:val="18"/>
        </w:rPr>
        <w:t>Research and Practice</w:t>
      </w:r>
      <w:r>
        <w:rPr>
          <w:rFonts w:ascii="MinionPro-Regular" w:eastAsia="MinionPro-Regular" w:cs="MinionPro-Regular"/>
          <w:sz w:val="18"/>
          <w:szCs w:val="18"/>
        </w:rPr>
        <w:t>, vol. 2013, Article ID 356217, 5 pages,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2013.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[30] C.-H.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Lai, S.-K.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Poon, Y.-C.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Chen, C.-S.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Chang,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and W.-C.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Wang,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 xml:space="preserve">Lower prevalence of </w:t>
      </w: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infection with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It" w:eastAsia="MinionPro-It" w:cs="MinionPro-It"/>
          <w:i/>
          <w:iCs/>
          <w:sz w:val="18"/>
          <w:szCs w:val="18"/>
        </w:rPr>
        <w:t>vacAs1a</w:t>
      </w:r>
      <w:r>
        <w:rPr>
          <w:rFonts w:ascii="MinionPro-Regular" w:eastAsia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It" w:eastAsia="MinionPro-It" w:cs="MinionPro-It"/>
          <w:i/>
          <w:iCs/>
          <w:sz w:val="18"/>
          <w:szCs w:val="18"/>
        </w:rPr>
        <w:t>cagA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-positive, and </w:t>
      </w:r>
      <w:r>
        <w:rPr>
          <w:rFonts w:ascii="MinionPro-It" w:eastAsia="MinionPro-It" w:cs="MinionPro-It"/>
          <w:i/>
          <w:iCs/>
          <w:sz w:val="18"/>
          <w:szCs w:val="18"/>
        </w:rPr>
        <w:t>babA2</w:t>
      </w:r>
      <w:r>
        <w:rPr>
          <w:rFonts w:ascii="MinionPro-Regular" w:eastAsia="MinionPro-Regular" w:cs="MinionPro-Regular"/>
          <w:sz w:val="18"/>
          <w:szCs w:val="18"/>
        </w:rPr>
        <w:t>-positive genotype in erosive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>reflux esophagitis disease,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Regular" w:eastAsia="MinionPro-Regular" w:cs="MinionPro-Regular"/>
          <w:sz w:val="18"/>
          <w:szCs w:val="18"/>
        </w:rPr>
        <w:t xml:space="preserve"> </w:t>
      </w:r>
      <w:r>
        <w:rPr>
          <w:rFonts w:ascii="MinionPro-It" w:eastAsia="MinionPro-It" w:cs="MinionPro-It"/>
          <w:i/>
          <w:iCs/>
          <w:sz w:val="18"/>
          <w:szCs w:val="18"/>
        </w:rPr>
        <w:t>Helicobacter</w:t>
      </w:r>
      <w:r>
        <w:rPr>
          <w:rFonts w:ascii="MinionPro-Regular" w:eastAsia="MinionPro-Regular" w:cs="MinionPro-Regular"/>
          <w:sz w:val="18"/>
          <w:szCs w:val="18"/>
        </w:rPr>
        <w:t>, vol. 10, no. 6, pp. 577</w:t>
      </w:r>
      <w:r>
        <w:rPr>
          <w:rFonts w:ascii="MinionPro-Regular" w:eastAsia="MinionPro-Regular" w:cs="MinionPro-Regular" w:hint="eastAsia"/>
          <w:sz w:val="18"/>
          <w:szCs w:val="18"/>
        </w:rPr>
        <w:t>–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proofErr w:type="gramStart"/>
      <w:r>
        <w:rPr>
          <w:rFonts w:ascii="MinionPro-Regular" w:eastAsia="MinionPro-Regular" w:cs="MinionPro-Regular"/>
          <w:sz w:val="18"/>
          <w:szCs w:val="18"/>
        </w:rPr>
        <w:t>585, 2005.</w:t>
      </w:r>
      <w:proofErr w:type="gramEnd"/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[31] H.-J. 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Lin, W.-C.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Lo, C.-L. </w:t>
      </w:r>
      <w:proofErr w:type="spellStart"/>
      <w:proofErr w:type="gramStart"/>
      <w:r>
        <w:rPr>
          <w:rFonts w:ascii="MinionPro-Regular" w:eastAsia="MinionPro-Regular" w:cs="MinionPro-Regular"/>
          <w:sz w:val="18"/>
          <w:szCs w:val="18"/>
        </w:rPr>
        <w:t>Perng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>, G.-Y.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 xml:space="preserve"> Tseng, A. F.-Y. Li, and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Regular" w:eastAsia="MinionPro-Regular" w:cs="MinionPro-Regular"/>
          <w:sz w:val="18"/>
          <w:szCs w:val="18"/>
        </w:rPr>
        <w:t xml:space="preserve">Y.-H. </w:t>
      </w:r>
      <w:proofErr w:type="spellStart"/>
      <w:r>
        <w:rPr>
          <w:rFonts w:ascii="MinionPro-Regular" w:eastAsia="MinionPro-Regular" w:cs="MinionPro-Regular"/>
          <w:sz w:val="18"/>
          <w:szCs w:val="18"/>
        </w:rPr>
        <w:t>Ou</w:t>
      </w:r>
      <w:proofErr w:type="spellEnd"/>
      <w:r>
        <w:rPr>
          <w:rFonts w:ascii="MinionPro-Regular" w:eastAsia="MinionPro-Regular" w:cs="MinionPro-Regular"/>
          <w:sz w:val="18"/>
          <w:szCs w:val="18"/>
        </w:rPr>
        <w:t xml:space="preserve">, </w:t>
      </w:r>
      <w:r>
        <w:rPr>
          <w:rFonts w:ascii="MinionPro-Regular" w:eastAsia="MinionPro-Regular" w:cs="MinionPro-Regular" w:hint="eastAsia"/>
          <w:sz w:val="18"/>
          <w:szCs w:val="18"/>
        </w:rPr>
        <w:t>“</w:t>
      </w:r>
      <w:r>
        <w:rPr>
          <w:rFonts w:ascii="MinionPro-Regular" w:eastAsia="MinionPro-Regular" w:cs="MinionPro-Regular"/>
          <w:sz w:val="18"/>
          <w:szCs w:val="18"/>
        </w:rPr>
        <w:t>Mucosal polymerase chain reaction for diagnosing</w:t>
      </w:r>
    </w:p>
    <w:p w:rsidR="00AA3252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sz w:val="18"/>
          <w:szCs w:val="18"/>
        </w:rPr>
      </w:pPr>
      <w:r>
        <w:rPr>
          <w:rFonts w:ascii="MinionPro-It" w:eastAsia="MinionPro-It" w:cs="MinionPro-It"/>
          <w:i/>
          <w:iCs/>
          <w:sz w:val="18"/>
          <w:szCs w:val="18"/>
        </w:rPr>
        <w:t xml:space="preserve">Helicobacter pylori </w:t>
      </w:r>
      <w:r>
        <w:rPr>
          <w:rFonts w:ascii="MinionPro-Regular" w:eastAsia="MinionPro-Regular" w:cs="MinionPro-Regular"/>
          <w:sz w:val="18"/>
          <w:szCs w:val="18"/>
        </w:rPr>
        <w:t>infection in patients with bleeding peptic</w:t>
      </w:r>
    </w:p>
    <w:p w:rsidR="00AA3252" w:rsidRPr="00D421A3" w:rsidRDefault="00AA3252" w:rsidP="00AA3252">
      <w:pPr>
        <w:widowControl w:val="0"/>
        <w:autoSpaceDE w:val="0"/>
        <w:autoSpaceDN w:val="0"/>
        <w:adjustRightInd w:val="0"/>
        <w:spacing w:after="0" w:line="240" w:lineRule="auto"/>
        <w:rPr>
          <w:rFonts w:eastAsia="新細明體" w:hint="eastAsia"/>
          <w:sz w:val="36"/>
          <w:szCs w:val="36"/>
          <w:lang w:eastAsia="zh-TW"/>
        </w:rPr>
      </w:pPr>
      <w:r>
        <w:rPr>
          <w:rFonts w:ascii="MinionPro-Regular" w:eastAsia="MinionPro-Regular" w:cs="MinionPro-Regular"/>
          <w:sz w:val="18"/>
          <w:szCs w:val="18"/>
        </w:rPr>
        <w:t>ulcers,</w:t>
      </w:r>
      <w:r>
        <w:rPr>
          <w:rFonts w:ascii="MinionPro-Regular" w:eastAsia="MinionPro-Regular" w:cs="MinionPro-Regular" w:hint="eastAsia"/>
          <w:sz w:val="18"/>
          <w:szCs w:val="18"/>
        </w:rPr>
        <w:t>”</w:t>
      </w:r>
      <w:r>
        <w:rPr>
          <w:rFonts w:ascii="MinionPro-It" w:eastAsia="MinionPro-It" w:cs="MinionPro-It"/>
          <w:i/>
          <w:iCs/>
          <w:sz w:val="18"/>
          <w:szCs w:val="18"/>
        </w:rPr>
        <w:t>World Journal of Gastroenterology</w:t>
      </w:r>
      <w:r>
        <w:rPr>
          <w:rFonts w:ascii="MinionPro-Regular" w:eastAsia="MinionPro-Regular" w:cs="MinionPro-Regular"/>
          <w:sz w:val="18"/>
          <w:szCs w:val="18"/>
        </w:rPr>
        <w:t>, vol. 11</w:t>
      </w:r>
      <w:proofErr w:type="gramStart"/>
      <w:r>
        <w:rPr>
          <w:rFonts w:ascii="MinionPro-Regular" w:eastAsia="MinionPro-Regular" w:cs="MinionPro-Regular"/>
          <w:sz w:val="18"/>
          <w:szCs w:val="18"/>
        </w:rPr>
        <w:t>,no</w:t>
      </w:r>
      <w:proofErr w:type="gramEnd"/>
      <w:r>
        <w:rPr>
          <w:rFonts w:ascii="MinionPro-Regular" w:eastAsia="MinionPro-Regular" w:cs="MinionPro-Regular"/>
          <w:sz w:val="18"/>
          <w:szCs w:val="18"/>
        </w:rPr>
        <w:t>. 3, pp. 3</w:t>
      </w:r>
    </w:p>
    <w:sectPr w:rsidR="00AA3252" w:rsidRPr="00D4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black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ionPro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ionMath-Cap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6A"/>
    <w:rsid w:val="00120FEF"/>
    <w:rsid w:val="001E4701"/>
    <w:rsid w:val="004161FC"/>
    <w:rsid w:val="00564CED"/>
    <w:rsid w:val="005A4F0F"/>
    <w:rsid w:val="00667C67"/>
    <w:rsid w:val="006D028C"/>
    <w:rsid w:val="00733653"/>
    <w:rsid w:val="008A696A"/>
    <w:rsid w:val="00A52F4F"/>
    <w:rsid w:val="00A94F00"/>
    <w:rsid w:val="00AA3252"/>
    <w:rsid w:val="00D421A3"/>
    <w:rsid w:val="00E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4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336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21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21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4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336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21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2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Lin</dc:creator>
  <cp:lastModifiedBy>高階主管</cp:lastModifiedBy>
  <cp:revision>5</cp:revision>
  <dcterms:created xsi:type="dcterms:W3CDTF">2017-02-22T05:05:00Z</dcterms:created>
  <dcterms:modified xsi:type="dcterms:W3CDTF">2017-02-22T05:16:00Z</dcterms:modified>
</cp:coreProperties>
</file>