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D7" w:rsidRDefault="00F552D7">
      <w:pPr>
        <w:spacing w:line="520" w:lineRule="exact"/>
        <w:jc w:val="center"/>
        <w:rPr>
          <w:rFonts w:eastAsia="標楷體"/>
          <w:b/>
          <w:spacing w:val="34"/>
          <w:sz w:val="38"/>
        </w:rPr>
      </w:pPr>
      <w:r>
        <w:rPr>
          <w:rFonts w:eastAsia="標楷體" w:hint="eastAsia"/>
          <w:b/>
          <w:spacing w:val="34"/>
          <w:sz w:val="38"/>
        </w:rPr>
        <w:t>財團法人明日醫學基金會研究計畫申請書</w:t>
      </w:r>
    </w:p>
    <w:p w:rsidR="00F552D7"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rsidTr="00B07BAC">
        <w:trPr>
          <w:cantSplit/>
        </w:trPr>
        <w:tc>
          <w:tcPr>
            <w:tcW w:w="1814" w:type="dxa"/>
            <w:vMerge w:val="restart"/>
          </w:tcPr>
          <w:p w:rsidR="00F552D7" w:rsidRDefault="00F552D7">
            <w:pPr>
              <w:spacing w:line="360" w:lineRule="exact"/>
              <w:ind w:firstLine="119"/>
              <w:jc w:val="both"/>
              <w:rPr>
                <w:rFonts w:eastAsia="標楷體"/>
                <w:sz w:val="26"/>
              </w:rPr>
            </w:pPr>
          </w:p>
          <w:p w:rsidR="00F552D7" w:rsidRDefault="00F552D7">
            <w:pPr>
              <w:spacing w:line="360" w:lineRule="exact"/>
              <w:ind w:firstLine="119"/>
              <w:jc w:val="both"/>
              <w:rPr>
                <w:rFonts w:eastAsia="標楷體"/>
                <w:sz w:val="26"/>
              </w:rPr>
            </w:pPr>
            <w:r>
              <w:rPr>
                <w:rFonts w:eastAsia="標楷體" w:hint="eastAsia"/>
                <w:sz w:val="26"/>
              </w:rPr>
              <w:t>計畫名稱</w:t>
            </w:r>
          </w:p>
        </w:tc>
        <w:tc>
          <w:tcPr>
            <w:tcW w:w="7712" w:type="dxa"/>
            <w:gridSpan w:val="2"/>
          </w:tcPr>
          <w:p w:rsidR="00F552D7" w:rsidRPr="00D845D0" w:rsidRDefault="00F552D7" w:rsidP="00624B7B">
            <w:pPr>
              <w:jc w:val="both"/>
              <w:rPr>
                <w:rFonts w:eastAsia="標楷體"/>
                <w:sz w:val="26"/>
              </w:rPr>
            </w:pPr>
            <w:r w:rsidRPr="00D845D0">
              <w:rPr>
                <w:rFonts w:eastAsia="標楷體" w:hAnsi="標楷體"/>
                <w:sz w:val="26"/>
              </w:rPr>
              <w:t>（中文）</w:t>
            </w:r>
            <w:r w:rsidR="008419D6" w:rsidRPr="008419D6">
              <w:rPr>
                <w:rFonts w:eastAsia="標楷體" w:hAnsi="標楷體" w:hint="eastAsia"/>
                <w:sz w:val="26"/>
              </w:rPr>
              <w:t>慢性</w:t>
            </w:r>
            <w:r w:rsidR="008419D6" w:rsidRPr="008419D6">
              <w:rPr>
                <w:rFonts w:eastAsia="標楷體" w:hAnsi="標楷體" w:hint="eastAsia"/>
                <w:sz w:val="26"/>
              </w:rPr>
              <w:t>B</w:t>
            </w:r>
            <w:r w:rsidR="008419D6" w:rsidRPr="008419D6">
              <w:rPr>
                <w:rFonts w:eastAsia="標楷體" w:hAnsi="標楷體" w:hint="eastAsia"/>
                <w:sz w:val="26"/>
              </w:rPr>
              <w:t>型肝炎患者</w:t>
            </w:r>
            <w:r w:rsidR="00624B7B">
              <w:rPr>
                <w:rFonts w:eastAsia="標楷體" w:hAnsi="標楷體" w:hint="eastAsia"/>
                <w:sz w:val="26"/>
              </w:rPr>
              <w:t>停止類核苷</w:t>
            </w:r>
            <w:r w:rsidR="00624B7B">
              <w:rPr>
                <w:rFonts w:eastAsia="標楷體" w:hAnsi="標楷體" w:hint="eastAsia"/>
                <w:sz w:val="26"/>
              </w:rPr>
              <w:t>(</w:t>
            </w:r>
            <w:r w:rsidR="00624B7B">
              <w:rPr>
                <w:rFonts w:eastAsia="標楷體" w:hAnsi="標楷體" w:hint="eastAsia"/>
                <w:sz w:val="26"/>
              </w:rPr>
              <w:t>酸</w:t>
            </w:r>
            <w:r w:rsidR="00624B7B">
              <w:rPr>
                <w:rFonts w:eastAsia="標楷體" w:hAnsi="標楷體" w:hint="eastAsia"/>
                <w:sz w:val="26"/>
              </w:rPr>
              <w:t>)</w:t>
            </w:r>
            <w:r w:rsidR="00624B7B">
              <w:rPr>
                <w:rFonts w:eastAsia="標楷體" w:hAnsi="標楷體" w:hint="eastAsia"/>
                <w:sz w:val="26"/>
              </w:rPr>
              <w:t>藥物後發生肝臟衰竭及死亡風險的真實世界分析</w:t>
            </w:r>
          </w:p>
        </w:tc>
      </w:tr>
      <w:tr w:rsidR="00F552D7" w:rsidTr="00B07BAC">
        <w:trPr>
          <w:cantSplit/>
        </w:trPr>
        <w:tc>
          <w:tcPr>
            <w:tcW w:w="1814" w:type="dxa"/>
            <w:vMerge/>
          </w:tcPr>
          <w:p w:rsidR="00F552D7" w:rsidRDefault="00F552D7">
            <w:pPr>
              <w:spacing w:line="520" w:lineRule="exact"/>
              <w:ind w:firstLine="120"/>
              <w:jc w:val="both"/>
              <w:rPr>
                <w:rFonts w:eastAsia="標楷體"/>
                <w:sz w:val="26"/>
              </w:rPr>
            </w:pPr>
          </w:p>
        </w:tc>
        <w:tc>
          <w:tcPr>
            <w:tcW w:w="7712" w:type="dxa"/>
            <w:gridSpan w:val="2"/>
          </w:tcPr>
          <w:p w:rsidR="00F552D7" w:rsidRPr="00D845D0" w:rsidRDefault="00F552D7" w:rsidP="00624B7B">
            <w:pPr>
              <w:tabs>
                <w:tab w:val="left" w:pos="226"/>
              </w:tabs>
              <w:spacing w:line="300" w:lineRule="exact"/>
              <w:ind w:left="169" w:right="127" w:hangingChars="65" w:hanging="169"/>
              <w:jc w:val="both"/>
              <w:rPr>
                <w:rFonts w:eastAsia="標楷體"/>
                <w:sz w:val="26"/>
              </w:rPr>
            </w:pPr>
            <w:r w:rsidRPr="00D845D0">
              <w:rPr>
                <w:rFonts w:eastAsia="標楷體" w:hAnsi="標楷體"/>
                <w:sz w:val="26"/>
              </w:rPr>
              <w:t>（英文）</w:t>
            </w:r>
            <w:r w:rsidR="00624B7B">
              <w:rPr>
                <w:rFonts w:eastAsia="標楷體" w:hAnsi="標楷體" w:hint="eastAsia"/>
                <w:sz w:val="26"/>
              </w:rPr>
              <w:t xml:space="preserve">A real-world analysis for the risks of </w:t>
            </w:r>
            <w:r w:rsidR="00624B7B">
              <w:rPr>
                <w:rFonts w:eastAsia="標楷體"/>
              </w:rPr>
              <w:t>liver failure and mortality after cessation of nucleos(t)ide analogs in patients with chronic h</w:t>
            </w:r>
            <w:r w:rsidR="00624B7B" w:rsidRPr="00624B7B">
              <w:rPr>
                <w:rFonts w:eastAsia="標楷體"/>
              </w:rPr>
              <w:t>epatitis B</w:t>
            </w:r>
          </w:p>
        </w:tc>
      </w:tr>
      <w:tr w:rsidR="00F552D7" w:rsidTr="00B07BAC">
        <w:tc>
          <w:tcPr>
            <w:tcW w:w="1814" w:type="dxa"/>
          </w:tcPr>
          <w:p w:rsidR="00F552D7" w:rsidRDefault="00F552D7">
            <w:pPr>
              <w:spacing w:line="600" w:lineRule="exact"/>
              <w:ind w:firstLine="120"/>
              <w:jc w:val="both"/>
              <w:rPr>
                <w:rFonts w:eastAsia="標楷體"/>
                <w:sz w:val="26"/>
              </w:rPr>
            </w:pPr>
            <w:r>
              <w:rPr>
                <w:rFonts w:eastAsia="標楷體" w:hint="eastAsia"/>
                <w:sz w:val="26"/>
              </w:rPr>
              <w:t>計畫類別</w:t>
            </w:r>
          </w:p>
        </w:tc>
        <w:tc>
          <w:tcPr>
            <w:tcW w:w="3969" w:type="dxa"/>
          </w:tcPr>
          <w:p w:rsidR="00F552D7" w:rsidRDefault="00F552D7">
            <w:pPr>
              <w:spacing w:line="600" w:lineRule="exact"/>
              <w:jc w:val="both"/>
              <w:rPr>
                <w:rFonts w:eastAsia="標楷體"/>
                <w:sz w:val="26"/>
              </w:rPr>
            </w:pPr>
            <w:r>
              <w:rPr>
                <w:rFonts w:eastAsia="標楷體" w:hint="eastAsia"/>
                <w:sz w:val="26"/>
              </w:rPr>
              <w:sym w:font="Wingdings" w:char="F0FE"/>
            </w:r>
            <w:r>
              <w:rPr>
                <w:rFonts w:eastAsia="標楷體" w:hint="eastAsia"/>
                <w:sz w:val="26"/>
              </w:rPr>
              <w:t>個別型</w:t>
            </w:r>
          </w:p>
        </w:tc>
        <w:tc>
          <w:tcPr>
            <w:tcW w:w="3743" w:type="dxa"/>
          </w:tcPr>
          <w:p w:rsidR="00F552D7" w:rsidRDefault="00F552D7">
            <w:pPr>
              <w:spacing w:line="600" w:lineRule="exact"/>
              <w:ind w:right="-1566"/>
              <w:jc w:val="both"/>
              <w:rPr>
                <w:rFonts w:eastAsia="標楷體"/>
                <w:sz w:val="26"/>
              </w:rPr>
            </w:pPr>
            <w:r>
              <w:rPr>
                <w:rFonts w:eastAsia="標楷體" w:hint="eastAsia"/>
                <w:sz w:val="26"/>
              </w:rPr>
              <w:sym w:font="Wingdings" w:char="F0A8"/>
            </w:r>
            <w:r>
              <w:rPr>
                <w:rFonts w:eastAsia="標楷體" w:hint="eastAsia"/>
                <w:sz w:val="26"/>
              </w:rPr>
              <w:t>整合型</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計畫歸屬</w:t>
            </w:r>
          </w:p>
        </w:tc>
        <w:tc>
          <w:tcPr>
            <w:tcW w:w="7712" w:type="dxa"/>
            <w:gridSpan w:val="2"/>
          </w:tcPr>
          <w:p w:rsidR="00F552D7" w:rsidRDefault="00B07BAC">
            <w:pPr>
              <w:spacing w:line="600" w:lineRule="exact"/>
              <w:jc w:val="both"/>
              <w:rPr>
                <w:rFonts w:eastAsia="標楷體"/>
                <w:spacing w:val="-2"/>
                <w:sz w:val="26"/>
              </w:rPr>
            </w:pPr>
            <w:r w:rsidRPr="00B07BAC">
              <w:rPr>
                <w:rFonts w:eastAsia="標楷體" w:hint="eastAsia"/>
                <w:spacing w:val="-2"/>
                <w:sz w:val="26"/>
              </w:rPr>
              <w:sym w:font="Wingdings" w:char="F0A8"/>
            </w:r>
            <w:r w:rsidR="00F552D7">
              <w:rPr>
                <w:rFonts w:eastAsia="標楷體" w:hint="eastAsia"/>
                <w:spacing w:val="-2"/>
                <w:sz w:val="26"/>
              </w:rPr>
              <w:t>基礎醫學</w:t>
            </w:r>
            <w:r w:rsidR="00F552D7">
              <w:rPr>
                <w:rFonts w:eastAsia="標楷體" w:hint="eastAsia"/>
                <w:spacing w:val="-2"/>
                <w:sz w:val="26"/>
              </w:rPr>
              <w:sym w:font="Wingdings" w:char="F0A8"/>
            </w:r>
            <w:r w:rsidR="00F552D7">
              <w:rPr>
                <w:rFonts w:eastAsia="標楷體" w:hint="eastAsia"/>
                <w:spacing w:val="-2"/>
                <w:sz w:val="26"/>
              </w:rPr>
              <w:t>生物醫學</w:t>
            </w:r>
            <w:r w:rsidRPr="00B07BAC">
              <w:rPr>
                <w:rFonts w:eastAsia="標楷體" w:hint="eastAsia"/>
                <w:spacing w:val="-2"/>
                <w:sz w:val="26"/>
              </w:rPr>
              <w:sym w:font="Wingdings" w:char="F0FE"/>
            </w:r>
            <w:r w:rsidR="00F552D7">
              <w:rPr>
                <w:rFonts w:eastAsia="標楷體" w:hint="eastAsia"/>
                <w:spacing w:val="-2"/>
                <w:sz w:val="26"/>
              </w:rPr>
              <w:t>臨床醫學</w:t>
            </w:r>
            <w:r w:rsidR="00F552D7">
              <w:rPr>
                <w:rFonts w:eastAsia="標楷體" w:hint="eastAsia"/>
                <w:spacing w:val="-2"/>
                <w:sz w:val="26"/>
              </w:rPr>
              <w:sym w:font="Wingdings" w:char="F0A8"/>
            </w:r>
            <w:r w:rsidR="00F552D7">
              <w:rPr>
                <w:rFonts w:eastAsia="標楷體" w:hint="eastAsia"/>
                <w:spacing w:val="-2"/>
                <w:sz w:val="26"/>
              </w:rPr>
              <w:t>資訊系統</w:t>
            </w:r>
            <w:r w:rsidR="00F552D7">
              <w:rPr>
                <w:rFonts w:eastAsia="標楷體" w:hint="eastAsia"/>
                <w:spacing w:val="-2"/>
                <w:sz w:val="26"/>
              </w:rPr>
              <w:sym w:font="Wingdings" w:char="F0A8"/>
            </w:r>
            <w:r w:rsidR="00F552D7">
              <w:rPr>
                <w:rFonts w:eastAsia="標楷體" w:hint="eastAsia"/>
                <w:spacing w:val="-2"/>
                <w:sz w:val="26"/>
              </w:rPr>
              <w:t>醫院管理</w:t>
            </w:r>
            <w:r w:rsidR="00F552D7">
              <w:rPr>
                <w:rFonts w:eastAsia="標楷體" w:hint="eastAsia"/>
                <w:spacing w:val="-2"/>
                <w:sz w:val="26"/>
              </w:rPr>
              <w:sym w:font="Wingdings" w:char="F0A8"/>
            </w:r>
            <w:r w:rsidR="00F552D7">
              <w:rPr>
                <w:rFonts w:eastAsia="標楷體" w:hint="eastAsia"/>
                <w:spacing w:val="-2"/>
                <w:sz w:val="26"/>
              </w:rPr>
              <w:t>整合性醫學研究</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計畫主持人</w:t>
            </w:r>
          </w:p>
        </w:tc>
        <w:tc>
          <w:tcPr>
            <w:tcW w:w="3969" w:type="dxa"/>
          </w:tcPr>
          <w:p w:rsidR="00F552D7" w:rsidRDefault="00F552D7">
            <w:pPr>
              <w:spacing w:beforeLines="50" w:before="180" w:afterLines="30" w:after="108" w:line="300" w:lineRule="exact"/>
              <w:rPr>
                <w:rFonts w:eastAsia="標楷體"/>
                <w:color w:val="000000"/>
                <w:sz w:val="32"/>
              </w:rPr>
            </w:pPr>
            <w:r>
              <w:rPr>
                <w:rFonts w:eastAsia="標楷體" w:hint="eastAsia"/>
                <w:sz w:val="26"/>
              </w:rPr>
              <w:t>姓名：</w:t>
            </w:r>
            <w:r>
              <w:rPr>
                <w:rFonts w:eastAsia="標楷體" w:hint="eastAsia"/>
                <w:color w:val="000000"/>
                <w:sz w:val="32"/>
              </w:rPr>
              <w:t>許耀峻</w:t>
            </w:r>
          </w:p>
          <w:p w:rsidR="00F552D7" w:rsidRDefault="00F552D7">
            <w:pPr>
              <w:spacing w:beforeLines="50" w:before="180" w:afterLines="30" w:after="108" w:line="300" w:lineRule="exact"/>
              <w:ind w:leftChars="-5" w:left="310" w:hangingChars="115" w:hanging="322"/>
              <w:rPr>
                <w:rFonts w:eastAsia="標楷體"/>
                <w:color w:val="000000"/>
                <w:sz w:val="28"/>
              </w:rPr>
            </w:pPr>
            <w:r>
              <w:rPr>
                <w:rFonts w:eastAsia="標楷體" w:hint="eastAsia"/>
                <w:color w:val="000000"/>
                <w:sz w:val="28"/>
              </w:rPr>
              <w:t>Yao-Chun Hsu</w:t>
            </w:r>
          </w:p>
          <w:p w:rsidR="00F552D7" w:rsidRDefault="00F552D7">
            <w:pPr>
              <w:spacing w:line="600" w:lineRule="exact"/>
              <w:jc w:val="both"/>
              <w:rPr>
                <w:rFonts w:eastAsia="標楷體"/>
                <w:sz w:val="26"/>
              </w:rPr>
            </w:pP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sidR="008419D6">
              <w:rPr>
                <w:rFonts w:eastAsia="標楷體" w:hint="eastAsia"/>
                <w:b/>
                <w:sz w:val="28"/>
              </w:rPr>
              <w:t>輔</w:t>
            </w:r>
            <w:r w:rsidR="00B07BAC">
              <w:rPr>
                <w:rFonts w:eastAsia="標楷體" w:hint="eastAsia"/>
                <w:b/>
                <w:sz w:val="28"/>
              </w:rPr>
              <w:t>大醫院</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r w:rsidR="008419D6">
              <w:rPr>
                <w:rFonts w:eastAsia="標楷體" w:hint="eastAsia"/>
                <w:b/>
                <w:sz w:val="28"/>
              </w:rPr>
              <w:t>醫研部</w:t>
            </w:r>
            <w:r w:rsidR="00D845D0">
              <w:rPr>
                <w:rFonts w:eastAsia="標楷體" w:hint="eastAsia"/>
                <w:b/>
                <w:sz w:val="28"/>
              </w:rPr>
              <w:t>主任</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sidR="008419D6">
              <w:rPr>
                <w:rFonts w:eastAsia="標楷體" w:hint="eastAsia"/>
                <w:b/>
                <w:sz w:val="28"/>
              </w:rPr>
              <w:t>醫學研究部</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通訊地址</w:t>
            </w:r>
          </w:p>
        </w:tc>
        <w:tc>
          <w:tcPr>
            <w:tcW w:w="7712" w:type="dxa"/>
            <w:gridSpan w:val="2"/>
          </w:tcPr>
          <w:p w:rsidR="00F552D7" w:rsidRDefault="008419D6">
            <w:pPr>
              <w:spacing w:line="600" w:lineRule="exact"/>
              <w:jc w:val="both"/>
              <w:rPr>
                <w:rFonts w:eastAsia="標楷體"/>
                <w:b/>
                <w:sz w:val="28"/>
              </w:rPr>
            </w:pPr>
            <w:r w:rsidRPr="008419D6">
              <w:rPr>
                <w:rFonts w:eastAsia="標楷體" w:hint="eastAsia"/>
                <w:b/>
                <w:sz w:val="28"/>
              </w:rPr>
              <w:t>新北市新莊區中正路</w:t>
            </w:r>
            <w:r w:rsidRPr="008419D6">
              <w:rPr>
                <w:rFonts w:eastAsia="標楷體" w:hint="eastAsia"/>
                <w:b/>
                <w:sz w:val="28"/>
              </w:rPr>
              <w:t>510</w:t>
            </w:r>
            <w:r w:rsidRPr="008419D6">
              <w:rPr>
                <w:rFonts w:eastAsia="標楷體" w:hint="eastAsia"/>
                <w:b/>
                <w:sz w:val="28"/>
              </w:rPr>
              <w:t>號</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聯絡電話</w:t>
            </w:r>
          </w:p>
        </w:tc>
        <w:tc>
          <w:tcPr>
            <w:tcW w:w="7712" w:type="dxa"/>
            <w:gridSpan w:val="2"/>
          </w:tcPr>
          <w:p w:rsidR="00F552D7" w:rsidRDefault="008419D6" w:rsidP="008419D6">
            <w:pPr>
              <w:spacing w:line="600" w:lineRule="exact"/>
              <w:jc w:val="both"/>
              <w:rPr>
                <w:rFonts w:eastAsia="標楷體"/>
                <w:b/>
                <w:sz w:val="28"/>
              </w:rPr>
            </w:pPr>
            <w:r w:rsidRPr="008419D6">
              <w:rPr>
                <w:rFonts w:eastAsia="標楷體"/>
                <w:b/>
                <w:sz w:val="28"/>
              </w:rPr>
              <w:t>(02)29053405</w:t>
            </w:r>
            <w:r w:rsidR="00B07BAC">
              <w:rPr>
                <w:rFonts w:eastAsia="標楷體" w:hint="eastAsia"/>
                <w:b/>
                <w:sz w:val="28"/>
              </w:rPr>
              <w:t>, 0988687726</w:t>
            </w:r>
          </w:p>
        </w:tc>
      </w:tr>
      <w:tr w:rsidR="00F552D7" w:rsidTr="00B07BAC">
        <w:trPr>
          <w:cantSplit/>
        </w:trPr>
        <w:tc>
          <w:tcPr>
            <w:tcW w:w="1814" w:type="dxa"/>
          </w:tcPr>
          <w:p w:rsidR="00F552D7" w:rsidRDefault="00F552D7">
            <w:pPr>
              <w:spacing w:line="600" w:lineRule="exact"/>
              <w:ind w:firstLine="120"/>
              <w:jc w:val="both"/>
              <w:rPr>
                <w:rFonts w:eastAsia="標楷體"/>
                <w:sz w:val="26"/>
              </w:rPr>
            </w:pPr>
            <w:r>
              <w:rPr>
                <w:rFonts w:eastAsia="標楷體" w:hint="eastAsia"/>
                <w:sz w:val="26"/>
              </w:rPr>
              <w:t>計畫執行期限</w:t>
            </w:r>
          </w:p>
        </w:tc>
        <w:tc>
          <w:tcPr>
            <w:tcW w:w="7712" w:type="dxa"/>
            <w:gridSpan w:val="2"/>
          </w:tcPr>
          <w:p w:rsidR="00F552D7" w:rsidRDefault="00F552D7" w:rsidP="009C45A6">
            <w:pPr>
              <w:spacing w:line="600" w:lineRule="exact"/>
              <w:jc w:val="both"/>
              <w:rPr>
                <w:rFonts w:eastAsia="標楷體"/>
                <w:sz w:val="26"/>
              </w:rPr>
            </w:pPr>
            <w:r>
              <w:rPr>
                <w:rFonts w:eastAsia="標楷體" w:hint="eastAsia"/>
                <w:sz w:val="26"/>
              </w:rPr>
              <w:t>自</w:t>
            </w:r>
            <w:r>
              <w:rPr>
                <w:rFonts w:eastAsia="標楷體" w:hint="eastAsia"/>
                <w:sz w:val="28"/>
              </w:rPr>
              <w:t xml:space="preserve"> </w:t>
            </w:r>
            <w:r w:rsidR="00B07BAC">
              <w:rPr>
                <w:rFonts w:eastAsia="標楷體" w:hint="eastAsia"/>
                <w:b/>
                <w:sz w:val="28"/>
              </w:rPr>
              <w:t>10</w:t>
            </w:r>
            <w:r w:rsidR="00624B7B">
              <w:rPr>
                <w:rFonts w:eastAsia="標楷體" w:hint="eastAsia"/>
                <w:b/>
                <w:sz w:val="28"/>
              </w:rPr>
              <w:t>8</w:t>
            </w:r>
            <w:r>
              <w:rPr>
                <w:rFonts w:eastAsia="標楷體" w:hint="eastAsia"/>
                <w:sz w:val="28"/>
              </w:rPr>
              <w:t xml:space="preserve">  </w:t>
            </w:r>
            <w:r>
              <w:rPr>
                <w:rFonts w:eastAsia="標楷體" w:hint="eastAsia"/>
                <w:sz w:val="26"/>
              </w:rPr>
              <w:t>年</w:t>
            </w:r>
            <w:r>
              <w:rPr>
                <w:rFonts w:eastAsia="標楷體" w:hint="eastAsia"/>
                <w:sz w:val="26"/>
              </w:rPr>
              <w:t xml:space="preserve"> </w:t>
            </w:r>
            <w:r w:rsidR="00B07BAC">
              <w:rPr>
                <w:rFonts w:eastAsia="標楷體" w:hint="eastAsia"/>
                <w:sz w:val="28"/>
              </w:rPr>
              <w:t xml:space="preserve"> 1</w:t>
            </w:r>
            <w:r>
              <w:rPr>
                <w:rFonts w:eastAsia="標楷體" w:hint="eastAsia"/>
                <w:sz w:val="28"/>
              </w:rPr>
              <w:t xml:space="preserve">  </w:t>
            </w:r>
            <w:r>
              <w:rPr>
                <w:rFonts w:eastAsia="標楷體" w:hint="eastAsia"/>
                <w:sz w:val="26"/>
              </w:rPr>
              <w:t>月</w:t>
            </w:r>
            <w:r w:rsidR="00B07BAC">
              <w:rPr>
                <w:rFonts w:eastAsia="標楷體" w:hint="eastAsia"/>
                <w:sz w:val="28"/>
              </w:rPr>
              <w:t xml:space="preserve"> </w:t>
            </w:r>
            <w:r>
              <w:rPr>
                <w:rFonts w:eastAsia="標楷體" w:hint="eastAsia"/>
                <w:b/>
                <w:sz w:val="28"/>
              </w:rPr>
              <w:t>1</w:t>
            </w:r>
            <w:r>
              <w:rPr>
                <w:rFonts w:eastAsia="標楷體" w:hint="eastAsia"/>
                <w:sz w:val="28"/>
              </w:rPr>
              <w:t xml:space="preserve">  </w:t>
            </w:r>
            <w:r>
              <w:rPr>
                <w:rFonts w:eastAsia="標楷體" w:hint="eastAsia"/>
                <w:sz w:val="26"/>
              </w:rPr>
              <w:t>日起至</w:t>
            </w:r>
            <w:r>
              <w:rPr>
                <w:rFonts w:eastAsia="標楷體" w:hint="eastAsia"/>
                <w:sz w:val="28"/>
              </w:rPr>
              <w:t xml:space="preserve">  </w:t>
            </w:r>
            <w:r w:rsidR="00B07BAC">
              <w:rPr>
                <w:rFonts w:eastAsia="標楷體" w:hint="eastAsia"/>
                <w:b/>
                <w:sz w:val="28"/>
              </w:rPr>
              <w:t>10</w:t>
            </w:r>
            <w:r w:rsidR="00624B7B">
              <w:rPr>
                <w:rFonts w:eastAsia="標楷體"/>
                <w:b/>
                <w:sz w:val="28"/>
              </w:rPr>
              <w:t>8</w:t>
            </w:r>
            <w:r>
              <w:rPr>
                <w:rFonts w:eastAsia="標楷體" w:hint="eastAsia"/>
                <w:sz w:val="28"/>
              </w:rPr>
              <w:t xml:space="preserve"> </w:t>
            </w:r>
            <w:r>
              <w:rPr>
                <w:rFonts w:eastAsia="標楷體" w:hint="eastAsia"/>
                <w:sz w:val="26"/>
              </w:rPr>
              <w:t>年</w:t>
            </w:r>
            <w:r>
              <w:rPr>
                <w:rFonts w:eastAsia="標楷體" w:hint="eastAsia"/>
                <w:sz w:val="28"/>
              </w:rPr>
              <w:t xml:space="preserve">  </w:t>
            </w:r>
            <w:r>
              <w:rPr>
                <w:rFonts w:eastAsia="標楷體" w:hint="eastAsia"/>
                <w:b/>
                <w:sz w:val="28"/>
              </w:rPr>
              <w:t>12</w:t>
            </w:r>
            <w:r>
              <w:rPr>
                <w:rFonts w:eastAsia="標楷體" w:hint="eastAsia"/>
                <w:sz w:val="28"/>
              </w:rPr>
              <w:t xml:space="preserve">  </w:t>
            </w:r>
            <w:r>
              <w:rPr>
                <w:rFonts w:eastAsia="標楷體" w:hint="eastAsia"/>
                <w:sz w:val="26"/>
              </w:rPr>
              <w:t>月</w:t>
            </w:r>
            <w:r>
              <w:rPr>
                <w:rFonts w:eastAsia="標楷體" w:hint="eastAsia"/>
                <w:sz w:val="28"/>
              </w:rPr>
              <w:t xml:space="preserve">  </w:t>
            </w:r>
            <w:r>
              <w:rPr>
                <w:rFonts w:eastAsia="標楷體" w:hint="eastAsia"/>
                <w:b/>
                <w:sz w:val="28"/>
              </w:rPr>
              <w:t>31</w:t>
            </w:r>
            <w:r>
              <w:rPr>
                <w:rFonts w:eastAsia="標楷體" w:hint="eastAsia"/>
                <w:sz w:val="28"/>
              </w:rPr>
              <w:t xml:space="preserve">  </w:t>
            </w:r>
            <w:r>
              <w:rPr>
                <w:rFonts w:eastAsia="標楷體" w:hint="eastAsia"/>
                <w:sz w:val="26"/>
              </w:rPr>
              <w:t>日止</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（一）</w:t>
            </w:r>
          </w:p>
        </w:tc>
        <w:tc>
          <w:tcPr>
            <w:tcW w:w="3969" w:type="dxa"/>
          </w:tcPr>
          <w:p w:rsidR="00F552D7" w:rsidRDefault="00F552D7">
            <w:pPr>
              <w:spacing w:line="600" w:lineRule="exact"/>
              <w:jc w:val="both"/>
              <w:rPr>
                <w:rFonts w:eastAsia="標楷體"/>
                <w:sz w:val="26"/>
              </w:rPr>
            </w:pPr>
            <w:r>
              <w:rPr>
                <w:rFonts w:eastAsia="標楷體" w:hint="eastAsia"/>
                <w:sz w:val="26"/>
              </w:rPr>
              <w:t>姓名：</w:t>
            </w:r>
            <w:r>
              <w:rPr>
                <w:rFonts w:eastAsia="標楷體" w:hint="eastAsia"/>
                <w:sz w:val="26"/>
              </w:rPr>
              <w:t xml:space="preserve"> </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r>
              <w:rPr>
                <w:rFonts w:eastAsia="標楷體" w:hint="eastAsia"/>
                <w:sz w:val="26"/>
              </w:rPr>
              <w:t xml:space="preserve"> </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r>
              <w:rPr>
                <w:rFonts w:eastAsia="標楷體" w:hint="eastAsia"/>
                <w:sz w:val="26"/>
              </w:rPr>
              <w:t xml:space="preserve"> </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（二）</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（三）</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r w:rsidR="00F552D7" w:rsidTr="00B07BAC">
        <w:trPr>
          <w:cantSplit/>
        </w:trPr>
        <w:tc>
          <w:tcPr>
            <w:tcW w:w="1814" w:type="dxa"/>
            <w:vMerge w:val="restart"/>
          </w:tcPr>
          <w:p w:rsidR="00F552D7" w:rsidRDefault="00F552D7">
            <w:pPr>
              <w:spacing w:line="600" w:lineRule="exact"/>
              <w:ind w:firstLine="120"/>
              <w:jc w:val="both"/>
              <w:rPr>
                <w:rFonts w:eastAsia="標楷體"/>
                <w:sz w:val="26"/>
              </w:rPr>
            </w:pPr>
            <w:r>
              <w:rPr>
                <w:rFonts w:eastAsia="標楷體" w:hint="eastAsia"/>
                <w:sz w:val="26"/>
              </w:rPr>
              <w:t>共同主持人</w:t>
            </w:r>
          </w:p>
          <w:p w:rsidR="00F552D7" w:rsidRDefault="00F552D7">
            <w:pPr>
              <w:spacing w:line="600" w:lineRule="exact"/>
              <w:ind w:firstLine="120"/>
              <w:jc w:val="both"/>
              <w:rPr>
                <w:rFonts w:eastAsia="標楷體"/>
                <w:sz w:val="26"/>
              </w:rPr>
            </w:pPr>
            <w:r>
              <w:rPr>
                <w:rFonts w:eastAsia="標楷體" w:hint="eastAsia"/>
                <w:sz w:val="26"/>
              </w:rPr>
              <w:t>（四）</w:t>
            </w:r>
          </w:p>
        </w:tc>
        <w:tc>
          <w:tcPr>
            <w:tcW w:w="3969" w:type="dxa"/>
          </w:tcPr>
          <w:p w:rsidR="00F552D7" w:rsidRDefault="00F552D7">
            <w:pPr>
              <w:spacing w:line="600" w:lineRule="exact"/>
              <w:jc w:val="both"/>
              <w:rPr>
                <w:rFonts w:eastAsia="標楷體"/>
                <w:sz w:val="26"/>
              </w:rPr>
            </w:pPr>
            <w:r>
              <w:rPr>
                <w:rFonts w:eastAsia="標楷體" w:hint="eastAsia"/>
                <w:sz w:val="26"/>
              </w:rPr>
              <w:t>姓名：</w:t>
            </w:r>
          </w:p>
        </w:tc>
        <w:tc>
          <w:tcPr>
            <w:tcW w:w="3743" w:type="dxa"/>
          </w:tcPr>
          <w:p w:rsidR="00F552D7" w:rsidRDefault="00F552D7">
            <w:pPr>
              <w:spacing w:line="600" w:lineRule="exact"/>
              <w:ind w:right="-1566"/>
              <w:jc w:val="both"/>
              <w:rPr>
                <w:rFonts w:eastAsia="標楷體"/>
                <w:sz w:val="26"/>
              </w:rPr>
            </w:pPr>
            <w:r>
              <w:rPr>
                <w:rFonts w:eastAsia="標楷體" w:hint="eastAsia"/>
                <w:sz w:val="26"/>
              </w:rPr>
              <w:t>機關：</w:t>
            </w:r>
          </w:p>
        </w:tc>
      </w:tr>
      <w:tr w:rsidR="00F552D7" w:rsidTr="00B07BAC">
        <w:trPr>
          <w:cantSplit/>
        </w:trPr>
        <w:tc>
          <w:tcPr>
            <w:tcW w:w="1814" w:type="dxa"/>
            <w:vMerge/>
          </w:tcPr>
          <w:p w:rsidR="00F552D7" w:rsidRDefault="00F552D7">
            <w:pPr>
              <w:spacing w:line="600" w:lineRule="exact"/>
              <w:ind w:firstLine="120"/>
              <w:jc w:val="both"/>
              <w:rPr>
                <w:rFonts w:eastAsia="標楷體"/>
                <w:sz w:val="26"/>
              </w:rPr>
            </w:pPr>
          </w:p>
        </w:tc>
        <w:tc>
          <w:tcPr>
            <w:tcW w:w="3969" w:type="dxa"/>
          </w:tcPr>
          <w:p w:rsidR="00F552D7" w:rsidRDefault="00F552D7">
            <w:pPr>
              <w:spacing w:line="600" w:lineRule="exact"/>
              <w:jc w:val="both"/>
              <w:rPr>
                <w:rFonts w:eastAsia="標楷體"/>
                <w:sz w:val="26"/>
              </w:rPr>
            </w:pPr>
            <w:r>
              <w:rPr>
                <w:rFonts w:eastAsia="標楷體" w:hint="eastAsia"/>
                <w:sz w:val="26"/>
              </w:rPr>
              <w:t>職稱：</w:t>
            </w:r>
          </w:p>
        </w:tc>
        <w:tc>
          <w:tcPr>
            <w:tcW w:w="3743" w:type="dxa"/>
          </w:tcPr>
          <w:p w:rsidR="00F552D7" w:rsidRDefault="00F552D7">
            <w:pPr>
              <w:spacing w:line="600" w:lineRule="exact"/>
              <w:ind w:right="-1566"/>
              <w:jc w:val="both"/>
              <w:rPr>
                <w:rFonts w:eastAsia="標楷體"/>
                <w:sz w:val="26"/>
              </w:rPr>
            </w:pPr>
            <w:r>
              <w:rPr>
                <w:rFonts w:eastAsia="標楷體" w:hint="eastAsia"/>
                <w:sz w:val="26"/>
              </w:rPr>
              <w:t>單位：</w:t>
            </w:r>
          </w:p>
        </w:tc>
      </w:tr>
    </w:tbl>
    <w:p w:rsidR="004E2477" w:rsidRDefault="004E2477">
      <w:pPr>
        <w:tabs>
          <w:tab w:val="num" w:pos="826"/>
        </w:tabs>
        <w:spacing w:line="360" w:lineRule="exact"/>
        <w:ind w:leftChars="-5" w:left="3477" w:hangingChars="1245" w:hanging="3489"/>
        <w:jc w:val="center"/>
        <w:rPr>
          <w:rFonts w:eastAsia="標楷體"/>
          <w:b/>
          <w:bCs/>
          <w:noProof/>
          <w:sz w:val="28"/>
        </w:rPr>
      </w:pPr>
    </w:p>
    <w:p w:rsidR="003A19EC" w:rsidRDefault="003A19EC">
      <w:pPr>
        <w:tabs>
          <w:tab w:val="num" w:pos="826"/>
        </w:tabs>
        <w:spacing w:line="360" w:lineRule="exact"/>
        <w:ind w:leftChars="-5" w:left="3477" w:hangingChars="1245" w:hanging="3489"/>
        <w:jc w:val="center"/>
        <w:rPr>
          <w:rFonts w:eastAsia="標楷體"/>
          <w:b/>
          <w:bCs/>
          <w:noProof/>
          <w:sz w:val="28"/>
        </w:rPr>
        <w:sectPr w:rsidR="003A19EC">
          <w:pgSz w:w="11906" w:h="16838"/>
          <w:pgMar w:top="1440" w:right="1800" w:bottom="1440" w:left="1800" w:header="851" w:footer="992" w:gutter="0"/>
          <w:cols w:space="425"/>
          <w:docGrid w:type="lines" w:linePitch="360"/>
        </w:sectPr>
      </w:pPr>
    </w:p>
    <w:p w:rsidR="00F552D7" w:rsidRDefault="00B07BAC">
      <w:pPr>
        <w:tabs>
          <w:tab w:val="num" w:pos="826"/>
        </w:tabs>
        <w:spacing w:line="360" w:lineRule="exact"/>
        <w:ind w:leftChars="-5" w:left="3477" w:hangingChars="1245" w:hanging="3489"/>
        <w:jc w:val="center"/>
        <w:rPr>
          <w:rFonts w:eastAsia="標楷體"/>
          <w:b/>
          <w:bCs/>
          <w:noProof/>
          <w:sz w:val="28"/>
        </w:rPr>
      </w:pPr>
      <w:r>
        <w:rPr>
          <w:rFonts w:eastAsia="標楷體" w:hint="eastAsia"/>
          <w:b/>
          <w:bCs/>
          <w:noProof/>
          <w:sz w:val="28"/>
        </w:rPr>
        <w:lastRenderedPageBreak/>
        <w:t>研究計畫</w:t>
      </w:r>
      <w:r w:rsidR="00F552D7">
        <w:rPr>
          <w:rFonts w:eastAsia="標楷體" w:hint="eastAsia"/>
          <w:b/>
          <w:bCs/>
          <w:noProof/>
          <w:sz w:val="28"/>
        </w:rPr>
        <w:t>摘要</w:t>
      </w:r>
    </w:p>
    <w:p w:rsidR="001B6C88" w:rsidRDefault="001B6C88" w:rsidP="00624B7B">
      <w:pPr>
        <w:tabs>
          <w:tab w:val="num" w:pos="826"/>
        </w:tabs>
        <w:spacing w:line="360" w:lineRule="exact"/>
        <w:rPr>
          <w:rFonts w:eastAsia="標楷體" w:hint="eastAsia"/>
        </w:rPr>
      </w:pPr>
    </w:p>
    <w:p w:rsidR="00F552D7" w:rsidRDefault="001B6C88" w:rsidP="003A19EC">
      <w:pPr>
        <w:tabs>
          <w:tab w:val="num" w:pos="826"/>
        </w:tabs>
        <w:spacing w:line="360" w:lineRule="exact"/>
        <w:ind w:leftChars="-5" w:left="1134" w:hangingChars="477" w:hanging="1146"/>
        <w:rPr>
          <w:rFonts w:eastAsia="標楷體"/>
        </w:rPr>
      </w:pPr>
      <w:r w:rsidRPr="001B6C88">
        <w:rPr>
          <w:rFonts w:eastAsia="標楷體" w:hint="eastAsia"/>
          <w:b/>
        </w:rPr>
        <w:t>研究主題</w:t>
      </w:r>
      <w:r w:rsidRPr="001B6C88">
        <w:rPr>
          <w:rFonts w:eastAsia="標楷體" w:hint="eastAsia"/>
          <w:b/>
        </w:rPr>
        <w:t>:</w:t>
      </w:r>
      <w:r w:rsidR="00624B7B">
        <w:rPr>
          <w:rFonts w:eastAsia="標楷體" w:hint="eastAsia"/>
        </w:rPr>
        <w:t xml:space="preserve"> </w:t>
      </w:r>
      <w:r w:rsidR="00624B7B">
        <w:rPr>
          <w:rFonts w:eastAsia="標楷體" w:hint="eastAsia"/>
        </w:rPr>
        <w:t>類核苷</w:t>
      </w:r>
      <w:r w:rsidR="00624B7B">
        <w:rPr>
          <w:rFonts w:eastAsia="標楷體" w:hint="eastAsia"/>
        </w:rPr>
        <w:t>(</w:t>
      </w:r>
      <w:r w:rsidR="00624B7B">
        <w:rPr>
          <w:rFonts w:eastAsia="標楷體" w:hint="eastAsia"/>
        </w:rPr>
        <w:t>酸</w:t>
      </w:r>
      <w:r w:rsidR="00624B7B">
        <w:rPr>
          <w:rFonts w:eastAsia="標楷體" w:hint="eastAsia"/>
        </w:rPr>
        <w:t>)</w:t>
      </w:r>
      <w:r w:rsidR="00624B7B">
        <w:rPr>
          <w:rFonts w:eastAsia="標楷體" w:hint="eastAsia"/>
        </w:rPr>
        <w:t>藥物治療</w:t>
      </w:r>
      <w:r w:rsidR="00F85CE4">
        <w:rPr>
          <w:rFonts w:eastAsia="標楷體" w:hint="eastAsia"/>
        </w:rPr>
        <w:t>慢性</w:t>
      </w:r>
      <w:r w:rsidR="00F85CE4">
        <w:rPr>
          <w:rFonts w:eastAsia="標楷體" w:hint="eastAsia"/>
        </w:rPr>
        <w:t>B</w:t>
      </w:r>
      <w:r w:rsidR="00F85CE4">
        <w:rPr>
          <w:rFonts w:eastAsia="標楷體" w:hint="eastAsia"/>
        </w:rPr>
        <w:t>型肝炎</w:t>
      </w:r>
      <w:r w:rsidR="00624B7B">
        <w:rPr>
          <w:rFonts w:eastAsia="標楷體" w:hint="eastAsia"/>
        </w:rPr>
        <w:t>需停藥</w:t>
      </w:r>
      <w:r w:rsidR="002C0C1B">
        <w:rPr>
          <w:rFonts w:eastAsia="標楷體" w:hint="eastAsia"/>
        </w:rPr>
        <w:t>的</w:t>
      </w:r>
      <w:r w:rsidR="00624B7B">
        <w:rPr>
          <w:rFonts w:eastAsia="標楷體" w:hint="eastAsia"/>
        </w:rPr>
        <w:t>策</w:t>
      </w:r>
      <w:r w:rsidR="002C0C1B">
        <w:rPr>
          <w:rFonts w:eastAsia="標楷體" w:hint="eastAsia"/>
        </w:rPr>
        <w:t>略面臨的</w:t>
      </w:r>
      <w:r w:rsidR="00624B7B">
        <w:rPr>
          <w:rFonts w:eastAsia="標楷體" w:hint="eastAsia"/>
        </w:rPr>
        <w:t>臨床風險評估</w:t>
      </w:r>
    </w:p>
    <w:p w:rsidR="001B6C88" w:rsidRPr="002C0C1B" w:rsidRDefault="001B6C88">
      <w:pPr>
        <w:tabs>
          <w:tab w:val="num" w:pos="826"/>
        </w:tabs>
        <w:spacing w:line="360" w:lineRule="exact"/>
        <w:ind w:leftChars="-5" w:left="2976" w:hangingChars="1245" w:hanging="2988"/>
        <w:rPr>
          <w:rFonts w:eastAsia="標楷體"/>
        </w:rPr>
      </w:pPr>
    </w:p>
    <w:p w:rsidR="00B07BAC" w:rsidRPr="00B07BAC" w:rsidRDefault="001B6C88" w:rsidP="003142F5">
      <w:pPr>
        <w:rPr>
          <w:rFonts w:ascii="標楷體" w:eastAsia="標楷體" w:hAnsi="標楷體"/>
          <w:b/>
          <w:color w:val="000000"/>
        </w:rPr>
      </w:pPr>
      <w:r>
        <w:rPr>
          <w:rFonts w:ascii="標楷體" w:eastAsia="標楷體" w:hAnsi="標楷體" w:hint="eastAsia"/>
          <w:b/>
          <w:color w:val="000000"/>
        </w:rPr>
        <w:t>ㄧ、試驗目的</w:t>
      </w:r>
      <w:r w:rsidR="00B07BAC" w:rsidRPr="00B07BAC">
        <w:rPr>
          <w:rFonts w:ascii="標楷體" w:eastAsia="標楷體" w:hAnsi="標楷體" w:hint="eastAsia"/>
          <w:b/>
          <w:color w:val="000000"/>
        </w:rPr>
        <w:t>：</w:t>
      </w:r>
    </w:p>
    <w:p w:rsidR="00624B7B" w:rsidRPr="00624B7B" w:rsidRDefault="00624B7B" w:rsidP="00624B7B">
      <w:pPr>
        <w:rPr>
          <w:rFonts w:ascii="標楷體" w:eastAsia="標楷體" w:hAnsi="標楷體"/>
          <w:color w:val="000000"/>
        </w:rPr>
      </w:pPr>
      <w:r w:rsidRPr="00624B7B">
        <w:rPr>
          <w:rFonts w:ascii="標楷體" w:eastAsia="標楷體" w:hAnsi="標楷體" w:hint="eastAsia"/>
          <w:color w:val="000000"/>
        </w:rPr>
        <w:t>１</w:t>
      </w:r>
      <w:r w:rsidRPr="00624B7B">
        <w:rPr>
          <w:rFonts w:ascii="標楷體" w:eastAsia="標楷體" w:hAnsi="標楷體"/>
          <w:color w:val="000000"/>
        </w:rPr>
        <w:t xml:space="preserve">. </w:t>
      </w:r>
      <w:r w:rsidRPr="00624B7B">
        <w:rPr>
          <w:rFonts w:ascii="標楷體" w:eastAsia="標楷體" w:hAnsi="標楷體" w:hint="eastAsia"/>
          <w:color w:val="000000"/>
        </w:rPr>
        <w:t>本研究將釐清慢性Ｂ型肝炎患者停止口服類核苷</w:t>
      </w:r>
      <w:r w:rsidRPr="00624B7B">
        <w:rPr>
          <w:rFonts w:ascii="標楷體" w:eastAsia="標楷體" w:hAnsi="標楷體"/>
          <w:color w:val="000000"/>
        </w:rPr>
        <w:t>(</w:t>
      </w:r>
      <w:r w:rsidRPr="00624B7B">
        <w:rPr>
          <w:rFonts w:ascii="標楷體" w:eastAsia="標楷體" w:hAnsi="標楷體" w:hint="eastAsia"/>
          <w:color w:val="000000"/>
        </w:rPr>
        <w:t>酸</w:t>
      </w:r>
      <w:r w:rsidRPr="00624B7B">
        <w:rPr>
          <w:rFonts w:ascii="標楷體" w:eastAsia="標楷體" w:hAnsi="標楷體"/>
          <w:color w:val="000000"/>
        </w:rPr>
        <w:t>)</w:t>
      </w:r>
      <w:r w:rsidRPr="00624B7B">
        <w:rPr>
          <w:rFonts w:ascii="標楷體" w:eastAsia="標楷體" w:hAnsi="標楷體" w:hint="eastAsia"/>
          <w:color w:val="000000"/>
        </w:rPr>
        <w:t>藥物後發生猛爆性肝炎、肝臟衰竭與因肝病死亡的發生率</w:t>
      </w:r>
    </w:p>
    <w:p w:rsidR="00624B7B" w:rsidRPr="00624B7B" w:rsidRDefault="00624B7B" w:rsidP="00624B7B">
      <w:pPr>
        <w:rPr>
          <w:rFonts w:ascii="標楷體" w:eastAsia="標楷體" w:hAnsi="標楷體" w:hint="eastAsia"/>
          <w:color w:val="000000"/>
        </w:rPr>
      </w:pPr>
      <w:r w:rsidRPr="00624B7B">
        <w:rPr>
          <w:rFonts w:ascii="標楷體" w:eastAsia="標楷體" w:hAnsi="標楷體" w:hint="eastAsia"/>
          <w:color w:val="000000"/>
        </w:rPr>
        <w:t>2.</w:t>
      </w:r>
      <w:r w:rsidRPr="00624B7B">
        <w:rPr>
          <w:rFonts w:ascii="標楷體" w:eastAsia="標楷體" w:hAnsi="標楷體" w:hint="eastAsia"/>
          <w:color w:val="000000"/>
        </w:rPr>
        <w:tab/>
        <w:t>進一步探討上述發生猛爆性肝炎、肝衰竭與因肝病死亡的病人特徵</w:t>
      </w:r>
    </w:p>
    <w:p w:rsidR="004E2477" w:rsidRDefault="00624B7B" w:rsidP="00624B7B">
      <w:pPr>
        <w:rPr>
          <w:rFonts w:ascii="標楷體" w:eastAsia="標楷體" w:hAnsi="標楷體"/>
          <w:color w:val="000000"/>
        </w:rPr>
      </w:pPr>
      <w:r w:rsidRPr="00624B7B">
        <w:rPr>
          <w:rFonts w:ascii="標楷體" w:eastAsia="標楷體" w:hAnsi="標楷體" w:hint="eastAsia"/>
          <w:color w:val="000000"/>
        </w:rPr>
        <w:t>3.</w:t>
      </w:r>
      <w:r w:rsidRPr="00624B7B">
        <w:rPr>
          <w:rFonts w:ascii="標楷體" w:eastAsia="標楷體" w:hAnsi="標楷體" w:hint="eastAsia"/>
          <w:color w:val="000000"/>
        </w:rPr>
        <w:tab/>
        <w:t>藉由上述得到的量化資料，建立計量模型估計停藥政策的風險效益分析</w:t>
      </w:r>
    </w:p>
    <w:p w:rsidR="00261B60" w:rsidRPr="00F85CE4" w:rsidRDefault="00261B60" w:rsidP="003142F5">
      <w:pPr>
        <w:rPr>
          <w:rFonts w:ascii="標楷體" w:eastAsia="標楷體" w:hAnsi="標楷體"/>
          <w:color w:val="000000"/>
        </w:rPr>
      </w:pPr>
    </w:p>
    <w:p w:rsidR="00B07BAC" w:rsidRPr="00B07BAC" w:rsidRDefault="00B07BAC" w:rsidP="003142F5">
      <w:pPr>
        <w:rPr>
          <w:rFonts w:ascii="標楷體" w:eastAsia="標楷體" w:hAnsi="標楷體"/>
          <w:b/>
          <w:color w:val="000000"/>
        </w:rPr>
      </w:pPr>
      <w:r w:rsidRPr="00B07BAC">
        <w:rPr>
          <w:rFonts w:ascii="標楷體" w:eastAsia="標楷體" w:hAnsi="標楷體" w:hint="eastAsia"/>
          <w:b/>
          <w:color w:val="000000"/>
        </w:rPr>
        <w:t>二、研究背景：</w:t>
      </w:r>
    </w:p>
    <w:p w:rsidR="00B07BAC" w:rsidRDefault="00624B7B" w:rsidP="00624B7B">
      <w:pPr>
        <w:rPr>
          <w:rFonts w:ascii="標楷體" w:eastAsia="標楷體" w:hAnsi="標楷體"/>
          <w:color w:val="000000"/>
        </w:rPr>
      </w:pPr>
      <w:r w:rsidRPr="00624B7B">
        <w:rPr>
          <w:rFonts w:ascii="標楷體" w:eastAsia="標楷體" w:hAnsi="標楷體" w:hint="eastAsia"/>
          <w:color w:val="000000"/>
        </w:rPr>
        <w:t>慢性</w:t>
      </w:r>
      <w:r w:rsidRPr="00624B7B">
        <w:rPr>
          <w:rFonts w:ascii="標楷體" w:eastAsia="標楷體" w:hAnsi="標楷體"/>
          <w:color w:val="000000"/>
        </w:rPr>
        <w:t>B</w:t>
      </w:r>
      <w:r w:rsidRPr="00624B7B">
        <w:rPr>
          <w:rFonts w:ascii="標楷體" w:eastAsia="標楷體" w:hAnsi="標楷體" w:hint="eastAsia"/>
          <w:color w:val="000000"/>
        </w:rPr>
        <w:t>型肝炎是國人肝硬化、肝衰竭和肝癌的主要病因，使用口服類核苷</w:t>
      </w:r>
      <w:r w:rsidRPr="00624B7B">
        <w:rPr>
          <w:rFonts w:ascii="標楷體" w:eastAsia="標楷體" w:hAnsi="標楷體"/>
          <w:color w:val="000000"/>
        </w:rPr>
        <w:t>(</w:t>
      </w:r>
      <w:r w:rsidRPr="00624B7B">
        <w:rPr>
          <w:rFonts w:ascii="標楷體" w:eastAsia="標楷體" w:hAnsi="標楷體" w:hint="eastAsia"/>
          <w:color w:val="000000"/>
        </w:rPr>
        <w:t>酸</w:t>
      </w:r>
      <w:r w:rsidRPr="00624B7B">
        <w:rPr>
          <w:rFonts w:ascii="標楷體" w:eastAsia="標楷體" w:hAnsi="標楷體"/>
          <w:color w:val="000000"/>
        </w:rPr>
        <w:t>)</w:t>
      </w:r>
      <w:r w:rsidRPr="00624B7B">
        <w:rPr>
          <w:rFonts w:ascii="標楷體" w:eastAsia="標楷體" w:hAnsi="標楷體" w:hint="eastAsia"/>
          <w:color w:val="000000"/>
        </w:rPr>
        <w:t>藥物可有效抑制</w:t>
      </w:r>
      <w:r w:rsidRPr="00624B7B">
        <w:rPr>
          <w:rFonts w:ascii="標楷體" w:eastAsia="標楷體" w:hAnsi="標楷體"/>
          <w:color w:val="000000"/>
        </w:rPr>
        <w:t>B</w:t>
      </w:r>
      <w:r w:rsidRPr="00624B7B">
        <w:rPr>
          <w:rFonts w:ascii="標楷體" w:eastAsia="標楷體" w:hAnsi="標楷體" w:hint="eastAsia"/>
          <w:color w:val="000000"/>
        </w:rPr>
        <w:t>肝病毒複製，是國內外醫學會建議的第一線治療藥物，已被廣泛使用。口服抗病毒藥物治療期間</w:t>
      </w:r>
      <w:r w:rsidRPr="00624B7B">
        <w:rPr>
          <w:rFonts w:ascii="標楷體" w:eastAsia="標楷體" w:hAnsi="標楷體"/>
          <w:color w:val="000000"/>
        </w:rPr>
        <w:t>B</w:t>
      </w:r>
      <w:r w:rsidRPr="00624B7B">
        <w:rPr>
          <w:rFonts w:ascii="標楷體" w:eastAsia="標楷體" w:hAnsi="標楷體" w:hint="eastAsia"/>
          <w:color w:val="000000"/>
        </w:rPr>
        <w:t>型肝炎會進入緩解</w:t>
      </w:r>
      <w:r w:rsidRPr="00624B7B">
        <w:rPr>
          <w:rFonts w:ascii="標楷體" w:eastAsia="標楷體" w:hAnsi="標楷體"/>
          <w:color w:val="000000"/>
        </w:rPr>
        <w:t>(remission)</w:t>
      </w:r>
      <w:r w:rsidRPr="00624B7B">
        <w:rPr>
          <w:rFonts w:ascii="標楷體" w:eastAsia="標楷體" w:hAnsi="標楷體" w:hint="eastAsia"/>
          <w:color w:val="000000"/>
        </w:rPr>
        <w:t>狀態，然而停止治療後多數病人</w:t>
      </w:r>
      <w:r w:rsidRPr="00624B7B">
        <w:rPr>
          <w:rFonts w:ascii="標楷體" w:eastAsia="標楷體" w:hAnsi="標楷體"/>
          <w:color w:val="000000"/>
        </w:rPr>
        <w:t>B</w:t>
      </w:r>
      <w:r w:rsidRPr="00624B7B">
        <w:rPr>
          <w:rFonts w:ascii="標楷體" w:eastAsia="標楷體" w:hAnsi="標楷體" w:hint="eastAsia"/>
          <w:color w:val="000000"/>
        </w:rPr>
        <w:t>肝病毒會再度大量複製，可能又會復發活動性肝炎，甚至導致嚴重急性發作；雖然停止治療可能有助於恢復對抗病毒的免疫反應，甚至增加表面抗原清除的機會，但是在真實世界日常診療中，Ｂ型肝炎患者停止類核苷</w:t>
      </w:r>
      <w:r w:rsidRPr="00624B7B">
        <w:rPr>
          <w:rFonts w:ascii="標楷體" w:eastAsia="標楷體" w:hAnsi="標楷體"/>
          <w:color w:val="000000"/>
        </w:rPr>
        <w:t>(</w:t>
      </w:r>
      <w:r w:rsidRPr="00624B7B">
        <w:rPr>
          <w:rFonts w:ascii="標楷體" w:eastAsia="標楷體" w:hAnsi="標楷體" w:hint="eastAsia"/>
          <w:color w:val="000000"/>
        </w:rPr>
        <w:t>酸</w:t>
      </w:r>
      <w:r w:rsidRPr="00624B7B">
        <w:rPr>
          <w:rFonts w:ascii="標楷體" w:eastAsia="標楷體" w:hAnsi="標楷體"/>
          <w:color w:val="000000"/>
        </w:rPr>
        <w:t>)</w:t>
      </w:r>
      <w:r w:rsidRPr="00624B7B">
        <w:rPr>
          <w:rFonts w:ascii="標楷體" w:eastAsia="標楷體" w:hAnsi="標楷體" w:hint="eastAsia"/>
          <w:color w:val="000000"/>
        </w:rPr>
        <w:t>藥物所造成的可能效益與潛在風險尚未被釐清。</w:t>
      </w:r>
    </w:p>
    <w:p w:rsidR="00C73079" w:rsidRPr="00106D38" w:rsidRDefault="00C73079" w:rsidP="003142F5">
      <w:pPr>
        <w:rPr>
          <w:rFonts w:ascii="標楷體" w:eastAsia="標楷體" w:hAnsi="標楷體"/>
          <w:b/>
          <w:color w:val="000000"/>
        </w:rPr>
      </w:pPr>
    </w:p>
    <w:p w:rsidR="00261B60" w:rsidRPr="00261B60" w:rsidRDefault="00261B60" w:rsidP="003142F5">
      <w:pPr>
        <w:rPr>
          <w:rFonts w:ascii="標楷體" w:eastAsia="標楷體" w:hAnsi="標楷體"/>
          <w:b/>
          <w:color w:val="000000"/>
        </w:rPr>
      </w:pPr>
      <w:r w:rsidRPr="00261B60">
        <w:rPr>
          <w:rFonts w:ascii="標楷體" w:eastAsia="標楷體" w:hAnsi="標楷體" w:hint="eastAsia"/>
          <w:b/>
          <w:color w:val="000000"/>
        </w:rPr>
        <w:t>三、研究方法：</w:t>
      </w:r>
    </w:p>
    <w:p w:rsidR="00AD1916" w:rsidRPr="00AD1916" w:rsidRDefault="001C352E" w:rsidP="002C0C1B">
      <w:pPr>
        <w:jc w:val="both"/>
        <w:rPr>
          <w:rFonts w:eastAsia="標楷體"/>
          <w:color w:val="000000"/>
        </w:rPr>
      </w:pPr>
      <w:r w:rsidRPr="002C0C1B">
        <w:rPr>
          <w:rFonts w:eastAsia="標楷體"/>
          <w:color w:val="000000"/>
        </w:rPr>
        <w:t>本</w:t>
      </w:r>
      <w:r w:rsidR="00C73079" w:rsidRPr="002C0C1B">
        <w:rPr>
          <w:rFonts w:eastAsia="標楷體"/>
          <w:color w:val="000000"/>
        </w:rPr>
        <w:t>計畫</w:t>
      </w:r>
      <w:r w:rsidR="00106D38" w:rsidRPr="002C0C1B">
        <w:rPr>
          <w:rFonts w:eastAsia="標楷體"/>
          <w:color w:val="000000"/>
        </w:rPr>
        <w:t>為</w:t>
      </w:r>
      <w:r w:rsidR="002C0C1B" w:rsidRPr="002C0C1B">
        <w:rPr>
          <w:rFonts w:eastAsia="標楷體"/>
          <w:color w:val="000000"/>
        </w:rPr>
        <w:t>本國多中心回溯世代研究，將經由分析醫院電子病歷資料</w:t>
      </w:r>
      <w:r w:rsidR="002C0C1B" w:rsidRPr="002C0C1B">
        <w:rPr>
          <w:rFonts w:eastAsia="標楷體"/>
          <w:color w:val="000000"/>
        </w:rPr>
        <w:t>(electronic</w:t>
      </w:r>
      <w:r w:rsidR="002C0C1B">
        <w:rPr>
          <w:rFonts w:eastAsia="標楷體"/>
          <w:color w:val="000000"/>
        </w:rPr>
        <w:t xml:space="preserve"> </w:t>
      </w:r>
      <w:r w:rsidR="002C0C1B" w:rsidRPr="002C0C1B">
        <w:rPr>
          <w:rFonts w:eastAsia="標楷體"/>
          <w:color w:val="000000"/>
        </w:rPr>
        <w:t>health record)</w:t>
      </w:r>
      <w:r w:rsidR="002C0C1B">
        <w:rPr>
          <w:rFonts w:eastAsia="標楷體" w:hint="eastAsia"/>
          <w:color w:val="000000"/>
        </w:rPr>
        <w:t>，整合國內義大醫院、義大癌治療醫院</w:t>
      </w:r>
      <w:r w:rsidR="002C0C1B" w:rsidRPr="002C0C1B">
        <w:rPr>
          <w:rFonts w:eastAsia="標楷體" w:hint="eastAsia"/>
          <w:color w:val="000000"/>
        </w:rPr>
        <w:t>、</w:t>
      </w:r>
      <w:r w:rsidR="002C0C1B">
        <w:rPr>
          <w:rFonts w:eastAsia="標楷體" w:hint="eastAsia"/>
          <w:color w:val="000000"/>
        </w:rPr>
        <w:t>台中榮民總醫院</w:t>
      </w:r>
      <w:r w:rsidR="002C0C1B" w:rsidRPr="002C0C1B">
        <w:rPr>
          <w:rFonts w:eastAsia="標楷體" w:hint="eastAsia"/>
          <w:color w:val="000000"/>
        </w:rPr>
        <w:t>、</w:t>
      </w:r>
      <w:r w:rsidR="002C0C1B">
        <w:rPr>
          <w:rFonts w:eastAsia="標楷體" w:hint="eastAsia"/>
          <w:color w:val="000000"/>
        </w:rPr>
        <w:t>台北榮民總醫院</w:t>
      </w:r>
      <w:r w:rsidR="002C0C1B" w:rsidRPr="002C0C1B">
        <w:rPr>
          <w:rFonts w:eastAsia="標楷體" w:hint="eastAsia"/>
          <w:color w:val="000000"/>
        </w:rPr>
        <w:t>、</w:t>
      </w:r>
      <w:r w:rsidR="002C0C1B">
        <w:rPr>
          <w:rFonts w:eastAsia="標楷體" w:hint="eastAsia"/>
          <w:color w:val="000000"/>
        </w:rPr>
        <w:t>嘉義基督教醫院</w:t>
      </w:r>
      <w:r w:rsidR="002C0C1B" w:rsidRPr="002C0C1B">
        <w:rPr>
          <w:rFonts w:eastAsia="標楷體" w:hint="eastAsia"/>
          <w:color w:val="000000"/>
        </w:rPr>
        <w:t>、</w:t>
      </w:r>
      <w:r w:rsidR="002C0C1B">
        <w:rPr>
          <w:rFonts w:eastAsia="標楷體" w:hint="eastAsia"/>
          <w:color w:val="000000"/>
        </w:rPr>
        <w:t>宜蘭羅東博愛醫院、台大雲林分院和市立台南醫院等各院的資料，研究對象為慢性Ｂ型肝炎</w:t>
      </w:r>
      <w:r w:rsidR="002C0C1B">
        <w:rPr>
          <w:rFonts w:eastAsia="標楷體" w:hint="eastAsia"/>
          <w:color w:val="000000"/>
        </w:rPr>
        <w:t>(</w:t>
      </w:r>
      <w:r w:rsidR="002C0C1B" w:rsidRPr="002C0C1B">
        <w:rPr>
          <w:rFonts w:eastAsia="標楷體" w:hint="eastAsia"/>
          <w:color w:val="000000"/>
        </w:rPr>
        <w:t>定義為慢性感染表面抗原陽性超過６個月</w:t>
      </w:r>
      <w:r w:rsidR="002C0C1B">
        <w:rPr>
          <w:rFonts w:eastAsia="標楷體" w:hint="eastAsia"/>
          <w:color w:val="000000"/>
        </w:rPr>
        <w:t>)</w:t>
      </w:r>
      <w:r w:rsidR="002C0C1B">
        <w:rPr>
          <w:rFonts w:eastAsia="標楷體" w:hint="eastAsia"/>
          <w:color w:val="000000"/>
        </w:rPr>
        <w:t>成年</w:t>
      </w:r>
      <w:r w:rsidR="002C0C1B">
        <w:rPr>
          <w:rFonts w:eastAsia="標楷體" w:hint="eastAsia"/>
          <w:color w:val="000000"/>
        </w:rPr>
        <w:t>(</w:t>
      </w:r>
      <w:r w:rsidR="002C0C1B">
        <w:rPr>
          <w:rFonts w:eastAsia="標楷體" w:hint="eastAsia"/>
          <w:color w:val="000000"/>
        </w:rPr>
        <w:t>滿</w:t>
      </w:r>
      <w:r w:rsidR="002C0C1B">
        <w:rPr>
          <w:rFonts w:eastAsia="標楷體" w:hint="eastAsia"/>
          <w:color w:val="000000"/>
        </w:rPr>
        <w:t>20</w:t>
      </w:r>
      <w:r w:rsidR="002C0C1B">
        <w:rPr>
          <w:rFonts w:eastAsia="標楷體" w:hint="eastAsia"/>
          <w:color w:val="000000"/>
        </w:rPr>
        <w:t>歲</w:t>
      </w:r>
      <w:r w:rsidR="002C0C1B">
        <w:rPr>
          <w:rFonts w:eastAsia="標楷體" w:hint="eastAsia"/>
          <w:color w:val="000000"/>
        </w:rPr>
        <w:t>)</w:t>
      </w:r>
      <w:r w:rsidR="002C0C1B">
        <w:rPr>
          <w:rFonts w:eastAsia="標楷體" w:hint="eastAsia"/>
          <w:color w:val="000000"/>
        </w:rPr>
        <w:t>患者，</w:t>
      </w:r>
      <w:r w:rsidR="002C0C1B" w:rsidRPr="00AD1916">
        <w:rPr>
          <w:rFonts w:eastAsia="標楷體"/>
          <w:color w:val="000000"/>
        </w:rPr>
        <w:t>使用類核苷</w:t>
      </w:r>
      <w:r w:rsidR="002C0C1B" w:rsidRPr="00AD1916">
        <w:rPr>
          <w:rFonts w:eastAsia="標楷體"/>
          <w:color w:val="000000"/>
        </w:rPr>
        <w:t>(</w:t>
      </w:r>
      <w:r w:rsidR="002C0C1B" w:rsidRPr="00AD1916">
        <w:rPr>
          <w:rFonts w:eastAsia="標楷體"/>
          <w:color w:val="000000"/>
        </w:rPr>
        <w:t>酸</w:t>
      </w:r>
      <w:r w:rsidR="002C0C1B" w:rsidRPr="00AD1916">
        <w:rPr>
          <w:rFonts w:eastAsia="標楷體"/>
          <w:color w:val="000000"/>
        </w:rPr>
        <w:t>)</w:t>
      </w:r>
      <w:r w:rsidR="002C0C1B" w:rsidRPr="00AD1916">
        <w:rPr>
          <w:rFonts w:eastAsia="標楷體"/>
          <w:color w:val="000000"/>
        </w:rPr>
        <w:t>藥物至少</w:t>
      </w:r>
      <w:r w:rsidR="002C0C1B" w:rsidRPr="00AD1916">
        <w:rPr>
          <w:rFonts w:eastAsia="標楷體"/>
          <w:color w:val="000000"/>
        </w:rPr>
        <w:t>12</w:t>
      </w:r>
      <w:r w:rsidR="002C0C1B" w:rsidRPr="00AD1916">
        <w:rPr>
          <w:rFonts w:eastAsia="標楷體"/>
          <w:color w:val="000000"/>
        </w:rPr>
        <w:t>個月後停止藥物至少１個月</w:t>
      </w:r>
      <w:r w:rsidR="002C0C1B" w:rsidRPr="00AD1916">
        <w:rPr>
          <w:rFonts w:eastAsia="標楷體"/>
          <w:color w:val="000000"/>
        </w:rPr>
        <w:t>，並排除非首次抗病毒</w:t>
      </w:r>
      <w:r w:rsidR="002C0C1B" w:rsidRPr="00AD1916">
        <w:rPr>
          <w:rFonts w:eastAsia="標楷體"/>
          <w:color w:val="000000"/>
        </w:rPr>
        <w:t>療</w:t>
      </w:r>
      <w:r w:rsidR="002C0C1B" w:rsidRPr="00AD1916">
        <w:rPr>
          <w:rFonts w:eastAsia="標楷體"/>
          <w:color w:val="000000"/>
        </w:rPr>
        <w:t>程者</w:t>
      </w:r>
      <w:r w:rsidR="002C0C1B" w:rsidRPr="00AD1916">
        <w:rPr>
          <w:rFonts w:eastAsia="標楷體"/>
          <w:color w:val="000000"/>
        </w:rPr>
        <w:t>（曾使用過類核苷酸或干擾素藥物超過１個月）</w:t>
      </w:r>
      <w:r w:rsidR="00AD1916" w:rsidRPr="00AD1916">
        <w:rPr>
          <w:rFonts w:eastAsia="標楷體"/>
          <w:color w:val="000000"/>
        </w:rPr>
        <w:t>，</w:t>
      </w:r>
      <w:r w:rsidR="002C0C1B" w:rsidRPr="00AD1916">
        <w:rPr>
          <w:rFonts w:eastAsia="標楷體"/>
          <w:color w:val="000000"/>
        </w:rPr>
        <w:t>罹患任何癌症或曾接受器官移植</w:t>
      </w:r>
      <w:r w:rsidR="00AD1916" w:rsidRPr="00AD1916">
        <w:rPr>
          <w:rFonts w:eastAsia="標楷體"/>
          <w:color w:val="000000"/>
        </w:rPr>
        <w:t>的病人，或者</w:t>
      </w:r>
      <w:r w:rsidR="002C0C1B" w:rsidRPr="00AD1916">
        <w:rPr>
          <w:rFonts w:eastAsia="標楷體"/>
          <w:color w:val="000000"/>
        </w:rPr>
        <w:t>停藥時已呈現肝機能代償不全</w:t>
      </w:r>
      <w:r w:rsidR="00AD1916" w:rsidRPr="00AD1916">
        <w:rPr>
          <w:rFonts w:eastAsia="標楷體"/>
          <w:color w:val="000000"/>
        </w:rPr>
        <w:t>的情形。</w:t>
      </w:r>
      <w:r w:rsidR="00AD1916">
        <w:rPr>
          <w:rFonts w:eastAsia="標楷體"/>
          <w:color w:val="000000"/>
        </w:rPr>
        <w:t>符合條件的病人</w:t>
      </w:r>
      <w:r w:rsidR="00AD1916" w:rsidRPr="00AD1916">
        <w:rPr>
          <w:rFonts w:eastAsia="標楷體"/>
          <w:color w:val="000000"/>
        </w:rPr>
        <w:t>自停止抗病毒治療後，</w:t>
      </w:r>
      <w:r w:rsidR="00AD1916">
        <w:rPr>
          <w:rFonts w:eastAsia="標楷體" w:hint="eastAsia"/>
          <w:color w:val="000000"/>
        </w:rPr>
        <w:t>追蹤</w:t>
      </w:r>
      <w:r w:rsidR="00AD1916">
        <w:rPr>
          <w:rFonts w:eastAsia="標楷體"/>
          <w:color w:val="000000"/>
        </w:rPr>
        <w:t>肝</w:t>
      </w:r>
      <w:r w:rsidR="00AD1916">
        <w:rPr>
          <w:rFonts w:eastAsia="標楷體" w:hint="eastAsia"/>
          <w:color w:val="000000"/>
        </w:rPr>
        <w:t>臟發</w:t>
      </w:r>
      <w:r w:rsidR="00AD1916">
        <w:rPr>
          <w:rFonts w:eastAsia="標楷體"/>
          <w:color w:val="000000"/>
        </w:rPr>
        <w:t>炎與機能指標的異常狀況，</w:t>
      </w:r>
      <w:r w:rsidR="00AD1916">
        <w:rPr>
          <w:rFonts w:eastAsia="標楷體" w:hint="eastAsia"/>
          <w:color w:val="000000"/>
        </w:rPr>
        <w:t>並計算</w:t>
      </w:r>
      <w:r w:rsidR="00AD1916" w:rsidRPr="00AD1916">
        <w:rPr>
          <w:rFonts w:eastAsia="標楷體"/>
          <w:color w:val="000000"/>
        </w:rPr>
        <w:t>發生下</w:t>
      </w:r>
      <w:r w:rsidR="00AD1916">
        <w:rPr>
          <w:rFonts w:eastAsia="標楷體"/>
          <w:color w:val="000000"/>
        </w:rPr>
        <w:t>列事件的發生率：急性肝炎發作定義為血清轉胺酶上升超過正常上限值</w:t>
      </w:r>
      <w:r w:rsidR="00AD1916">
        <w:rPr>
          <w:rFonts w:eastAsia="標楷體"/>
          <w:color w:val="000000"/>
        </w:rPr>
        <w:t>5</w:t>
      </w:r>
      <w:r w:rsidR="00AD1916" w:rsidRPr="00AD1916">
        <w:rPr>
          <w:rFonts w:eastAsia="標楷體"/>
          <w:color w:val="000000"/>
        </w:rPr>
        <w:t>倍</w:t>
      </w:r>
      <w:r w:rsidR="00AD1916">
        <w:rPr>
          <w:rFonts w:eastAsia="標楷體"/>
          <w:color w:val="000000"/>
        </w:rPr>
        <w:t>或</w:t>
      </w:r>
      <w:r w:rsidR="00AD1916">
        <w:rPr>
          <w:rFonts w:eastAsia="標楷體"/>
          <w:color w:val="000000"/>
        </w:rPr>
        <w:t>10</w:t>
      </w:r>
      <w:r w:rsidR="00AD1916">
        <w:rPr>
          <w:rFonts w:eastAsia="標楷體"/>
          <w:color w:val="000000"/>
        </w:rPr>
        <w:t>倍</w:t>
      </w:r>
      <w:r w:rsidR="00AD1916">
        <w:rPr>
          <w:rFonts w:eastAsia="標楷體"/>
          <w:color w:val="000000"/>
        </w:rPr>
        <w:t>(200</w:t>
      </w:r>
      <w:r w:rsidR="00AD1916">
        <w:rPr>
          <w:rFonts w:eastAsia="標楷體"/>
          <w:color w:val="000000"/>
        </w:rPr>
        <w:t>或</w:t>
      </w:r>
      <w:r w:rsidR="00AD1916">
        <w:rPr>
          <w:rFonts w:eastAsia="標楷體"/>
          <w:color w:val="000000"/>
        </w:rPr>
        <w:t xml:space="preserve">400 </w:t>
      </w:r>
      <w:r w:rsidR="00AD1916" w:rsidRPr="00AD1916">
        <w:rPr>
          <w:rFonts w:eastAsia="標楷體"/>
          <w:color w:val="000000"/>
        </w:rPr>
        <w:t>U/L)</w:t>
      </w:r>
      <w:r w:rsidR="00AD1916" w:rsidRPr="00AD1916">
        <w:rPr>
          <w:rFonts w:eastAsia="標楷體"/>
          <w:color w:val="000000"/>
        </w:rPr>
        <w:t>，急性併慢性肝衰竭（</w:t>
      </w:r>
      <w:r w:rsidR="00AD1916" w:rsidRPr="00AD1916">
        <w:rPr>
          <w:rFonts w:eastAsia="標楷體"/>
          <w:color w:val="000000"/>
        </w:rPr>
        <w:t>Acute on Chronic Liver Failure</w:t>
      </w:r>
      <w:r w:rsidR="00AD1916" w:rsidRPr="00AD1916">
        <w:rPr>
          <w:rFonts w:eastAsia="標楷體"/>
          <w:color w:val="000000"/>
        </w:rPr>
        <w:t>），以及因肝病死亡</w:t>
      </w:r>
      <w:r w:rsidR="00AD1916" w:rsidRPr="00AD1916">
        <w:rPr>
          <w:rFonts w:eastAsia="標楷體"/>
          <w:color w:val="000000"/>
        </w:rPr>
        <w:t>(Liver-related Death)</w:t>
      </w:r>
      <w:r w:rsidR="00AD1916" w:rsidRPr="00AD1916">
        <w:rPr>
          <w:rFonts w:eastAsia="標楷體"/>
          <w:color w:val="000000"/>
        </w:rPr>
        <w:t>。</w:t>
      </w:r>
    </w:p>
    <w:p w:rsidR="00261B60" w:rsidRPr="00AD1916" w:rsidRDefault="002C0C1B" w:rsidP="002C0C1B">
      <w:pPr>
        <w:jc w:val="both"/>
        <w:rPr>
          <w:rFonts w:eastAsia="標楷體"/>
          <w:color w:val="000000"/>
        </w:rPr>
      </w:pPr>
      <w:r w:rsidRPr="00AD1916">
        <w:rPr>
          <w:rFonts w:eastAsia="標楷體"/>
          <w:color w:val="000000"/>
        </w:rPr>
        <w:t xml:space="preserve"> </w:t>
      </w:r>
    </w:p>
    <w:p w:rsidR="00261B60" w:rsidRPr="00AD1916" w:rsidRDefault="00261B60" w:rsidP="00261B60">
      <w:pPr>
        <w:rPr>
          <w:rFonts w:eastAsia="標楷體"/>
          <w:color w:val="000000"/>
        </w:rPr>
      </w:pPr>
    </w:p>
    <w:p w:rsidR="00387823" w:rsidRPr="00106D38" w:rsidRDefault="00B07BAC" w:rsidP="00106D38">
      <w:pPr>
        <w:rPr>
          <w:rFonts w:ascii="標楷體" w:eastAsia="標楷體" w:hAnsi="標楷體"/>
          <w:bCs/>
          <w:noProof/>
        </w:rPr>
        <w:sectPr w:rsidR="00387823" w:rsidRPr="00106D38">
          <w:pgSz w:w="11906" w:h="16838"/>
          <w:pgMar w:top="1440" w:right="1800" w:bottom="1440" w:left="1800" w:header="851" w:footer="992" w:gutter="0"/>
          <w:cols w:space="425"/>
          <w:docGrid w:type="lines" w:linePitch="360"/>
        </w:sectPr>
      </w:pPr>
      <w:r w:rsidRPr="00261B60">
        <w:rPr>
          <w:rFonts w:ascii="標楷體" w:eastAsia="標楷體" w:hAnsi="標楷體" w:hint="eastAsia"/>
          <w:b/>
          <w:bCs/>
          <w:noProof/>
        </w:rPr>
        <w:t>關鍵詞:</w:t>
      </w:r>
      <w:r w:rsidR="008E62B2" w:rsidRPr="00261B60">
        <w:rPr>
          <w:rFonts w:ascii="標楷體" w:eastAsia="標楷體" w:hAnsi="標楷體" w:hint="eastAsia"/>
          <w:bCs/>
          <w:noProof/>
        </w:rPr>
        <w:t>慢性</w:t>
      </w:r>
      <w:r w:rsidR="00A64745">
        <w:rPr>
          <w:rFonts w:ascii="標楷體" w:eastAsia="標楷體" w:hAnsi="標楷體" w:hint="eastAsia"/>
          <w:bCs/>
          <w:noProof/>
        </w:rPr>
        <w:t>B</w:t>
      </w:r>
      <w:r w:rsidR="001B6C88">
        <w:rPr>
          <w:rFonts w:ascii="標楷體" w:eastAsia="標楷體" w:hAnsi="標楷體" w:hint="eastAsia"/>
          <w:bCs/>
          <w:noProof/>
        </w:rPr>
        <w:t>性</w:t>
      </w:r>
      <w:r w:rsidR="00782894">
        <w:rPr>
          <w:rFonts w:ascii="標楷體" w:eastAsia="標楷體" w:hAnsi="標楷體" w:hint="eastAsia"/>
          <w:bCs/>
          <w:noProof/>
        </w:rPr>
        <w:t>肝炎；</w:t>
      </w:r>
      <w:r w:rsidR="00106D38">
        <w:rPr>
          <w:rFonts w:ascii="標楷體" w:eastAsia="標楷體" w:hAnsi="標楷體" w:hint="eastAsia"/>
          <w:bCs/>
          <w:noProof/>
        </w:rPr>
        <w:t>類核苷酸藥物；風險</w:t>
      </w:r>
      <w:r w:rsidR="00AD1916">
        <w:rPr>
          <w:rFonts w:ascii="標楷體" w:eastAsia="標楷體" w:hAnsi="標楷體" w:hint="eastAsia"/>
          <w:bCs/>
          <w:noProof/>
        </w:rPr>
        <w:t>效益分析</w:t>
      </w:r>
      <w:r w:rsidR="00AD1916" w:rsidRPr="00AD1916">
        <w:rPr>
          <w:rFonts w:ascii="標楷體" w:eastAsia="標楷體" w:hAnsi="標楷體" w:hint="eastAsia"/>
          <w:bCs/>
          <w:noProof/>
        </w:rPr>
        <w:t>；</w:t>
      </w:r>
      <w:r w:rsidR="00AD1916">
        <w:rPr>
          <w:rFonts w:ascii="標楷體" w:eastAsia="標楷體" w:hAnsi="標楷體" w:hint="eastAsia"/>
          <w:bCs/>
          <w:noProof/>
        </w:rPr>
        <w:t>醫療政策</w:t>
      </w:r>
    </w:p>
    <w:p w:rsidR="00F552D7" w:rsidRDefault="00F552D7" w:rsidP="00D1172B">
      <w:pPr>
        <w:widowControl/>
        <w:tabs>
          <w:tab w:val="left" w:pos="-28"/>
        </w:tabs>
        <w:kinsoku w:val="0"/>
        <w:spacing w:line="360" w:lineRule="auto"/>
        <w:jc w:val="both"/>
        <w:textAlignment w:val="bottom"/>
        <w:rPr>
          <w:rFonts w:ascii="標楷體" w:eastAsia="標楷體" w:hAnsi="標楷體"/>
          <w:b/>
          <w:color w:val="000000"/>
        </w:rPr>
      </w:pPr>
      <w:r>
        <w:rPr>
          <w:rFonts w:ascii="標楷體" w:eastAsia="標楷體" w:hAnsi="標楷體" w:hint="eastAsia"/>
          <w:b/>
          <w:color w:val="000000"/>
        </w:rPr>
        <w:t>研究計畫目的及背景說明</w:t>
      </w:r>
    </w:p>
    <w:p w:rsidR="00D1172B" w:rsidRPr="003464C0" w:rsidRDefault="00D1172B" w:rsidP="00D1172B">
      <w:pPr>
        <w:snapToGrid w:val="0"/>
        <w:spacing w:line="360" w:lineRule="auto"/>
        <w:jc w:val="both"/>
        <w:rPr>
          <w:rFonts w:cs="標楷體"/>
          <w:color w:val="000000"/>
          <w:szCs w:val="28"/>
        </w:rPr>
      </w:pPr>
      <w:r w:rsidRPr="003464C0">
        <w:rPr>
          <w:rFonts w:cs="標楷體"/>
          <w:color w:val="000000"/>
          <w:szCs w:val="28"/>
        </w:rPr>
        <w:t xml:space="preserve">Antiviral therapy with nucleos(t)ide analog (NA) has become the cornerstone in the management of chronic hepatitis B virus (HBV) infection </w:t>
      </w:r>
      <w:r w:rsidRPr="003464C0">
        <w:rPr>
          <w:rFonts w:cs="標楷體"/>
          <w:color w:val="000000"/>
          <w:szCs w:val="28"/>
          <w:vertAlign w:val="superscript"/>
        </w:rPr>
        <w:t>1-3</w:t>
      </w:r>
      <w:r w:rsidRPr="003464C0">
        <w:rPr>
          <w:rFonts w:cs="標楷體"/>
          <w:color w:val="000000"/>
          <w:szCs w:val="28"/>
        </w:rPr>
        <w:t xml:space="preserve">. Through potent inhibition of viral replication, NA ameliorates hepatic inflammation, prevents liver fibrosis, and may improve clinical outcomes in patients with chronic hepatitis B (CHB) </w:t>
      </w:r>
      <w:r w:rsidRPr="003464C0">
        <w:rPr>
          <w:rFonts w:cs="標楷體"/>
          <w:color w:val="000000"/>
          <w:szCs w:val="28"/>
          <w:vertAlign w:val="superscript"/>
        </w:rPr>
        <w:t>4-6</w:t>
      </w:r>
      <w:r w:rsidRPr="003464C0">
        <w:rPr>
          <w:rFonts w:cs="標楷體"/>
          <w:color w:val="000000"/>
          <w:szCs w:val="28"/>
        </w:rPr>
        <w:t xml:space="preserve">. However, NAs exerts little effects on the viral covalently closed circular DNA (cccDNA) in the nucleus, and treatment cessation almost always leads to loss of viral remission </w:t>
      </w:r>
      <w:r w:rsidRPr="003464C0">
        <w:rPr>
          <w:rFonts w:cs="標楷體"/>
          <w:color w:val="000000"/>
          <w:szCs w:val="28"/>
          <w:vertAlign w:val="superscript"/>
        </w:rPr>
        <w:t>7-9</w:t>
      </w:r>
      <w:r w:rsidRPr="003464C0">
        <w:rPr>
          <w:rFonts w:cs="標楷體"/>
          <w:color w:val="000000"/>
          <w:szCs w:val="28"/>
        </w:rPr>
        <w:t xml:space="preserve">. Following viral relapse in patients who discontinue NAs, clinical hepatitis frequently ensues and can rapidly deteriorate into liver failure with fatal consequences </w:t>
      </w:r>
      <w:r w:rsidRPr="003464C0">
        <w:rPr>
          <w:rFonts w:cs="標楷體"/>
          <w:color w:val="000000"/>
          <w:szCs w:val="28"/>
          <w:vertAlign w:val="superscript"/>
        </w:rPr>
        <w:t>10,11</w:t>
      </w:r>
      <w:r w:rsidRPr="003464C0">
        <w:rPr>
          <w:rFonts w:cs="標楷體"/>
          <w:color w:val="000000"/>
          <w:szCs w:val="28"/>
        </w:rPr>
        <w:t xml:space="preserve">. </w:t>
      </w:r>
    </w:p>
    <w:p w:rsidR="00D1172B" w:rsidRPr="003464C0" w:rsidRDefault="00D1172B" w:rsidP="00D1172B">
      <w:pPr>
        <w:snapToGrid w:val="0"/>
        <w:spacing w:line="360" w:lineRule="auto"/>
        <w:jc w:val="both"/>
        <w:rPr>
          <w:rFonts w:cs="標楷體"/>
          <w:color w:val="000000"/>
          <w:szCs w:val="28"/>
        </w:rPr>
      </w:pPr>
    </w:p>
    <w:p w:rsidR="00D1172B" w:rsidRPr="003464C0" w:rsidRDefault="00D1172B" w:rsidP="00D1172B">
      <w:pPr>
        <w:snapToGrid w:val="0"/>
        <w:spacing w:line="360" w:lineRule="auto"/>
        <w:jc w:val="both"/>
        <w:rPr>
          <w:rFonts w:cs="標楷體"/>
          <w:color w:val="000000"/>
          <w:szCs w:val="28"/>
        </w:rPr>
      </w:pPr>
      <w:r w:rsidRPr="003464C0">
        <w:rPr>
          <w:rFonts w:cs="標楷體"/>
          <w:color w:val="000000"/>
          <w:szCs w:val="28"/>
        </w:rPr>
        <w:t xml:space="preserve">Currently, hepatitis B surface antigen (HBsAg) loss is the most widely accepted endpoint to guide cessation of NA treatment </w:t>
      </w:r>
      <w:r w:rsidRPr="003464C0">
        <w:rPr>
          <w:rFonts w:cs="標楷體"/>
          <w:color w:val="000000"/>
          <w:szCs w:val="28"/>
          <w:vertAlign w:val="superscript"/>
        </w:rPr>
        <w:t>12-14</w:t>
      </w:r>
      <w:r w:rsidRPr="003464C0">
        <w:rPr>
          <w:rFonts w:cs="標楷體"/>
          <w:color w:val="000000"/>
          <w:szCs w:val="28"/>
        </w:rPr>
        <w:t xml:space="preserve">. However, as HBsAg loss is an infrequent event, this strategy entails an indefinite therapeutic duration that could be lifelong for the vast majority of NA-treated patients </w:t>
      </w:r>
      <w:r w:rsidRPr="003464C0">
        <w:rPr>
          <w:rFonts w:cs="標楷體"/>
          <w:color w:val="000000"/>
          <w:szCs w:val="28"/>
          <w:vertAlign w:val="superscript"/>
        </w:rPr>
        <w:t>15</w:t>
      </w:r>
      <w:r w:rsidRPr="003464C0">
        <w:rPr>
          <w:rFonts w:cs="標楷體"/>
          <w:color w:val="000000"/>
          <w:szCs w:val="28"/>
        </w:rPr>
        <w:t xml:space="preserve">. Intriguingly, recent studies suggested that discontinuation of NA therapy could be associated with a higher chance of HBsAg loss </w:t>
      </w:r>
      <w:r w:rsidRPr="003464C0">
        <w:rPr>
          <w:rFonts w:cs="標楷體"/>
          <w:color w:val="000000"/>
          <w:szCs w:val="28"/>
          <w:vertAlign w:val="superscript"/>
        </w:rPr>
        <w:t>16-18</w:t>
      </w:r>
      <w:r w:rsidRPr="003464C0">
        <w:rPr>
          <w:rFonts w:cs="標楷體"/>
          <w:color w:val="000000"/>
          <w:szCs w:val="28"/>
        </w:rPr>
        <w:t xml:space="preserve">. Berg and colleagues demonstrated in a randomized trial that a substantial proportion of patients who were allocated to stop tenofovir achieved HBsAg clearance and maintained viral suppression with HBV DNA &lt;2,000 IU/mL </w:t>
      </w:r>
      <w:r w:rsidRPr="003464C0">
        <w:rPr>
          <w:rFonts w:cs="標楷體"/>
          <w:color w:val="000000"/>
          <w:szCs w:val="28"/>
          <w:vertAlign w:val="superscript"/>
        </w:rPr>
        <w:t>16</w:t>
      </w:r>
      <w:r w:rsidRPr="003464C0">
        <w:rPr>
          <w:rFonts w:cs="標楷體"/>
          <w:color w:val="000000"/>
          <w:szCs w:val="28"/>
        </w:rPr>
        <w:t xml:space="preserve">. Jeng and colleagues also reported a higher incidence of HBsAg loss after NA cessation than that during therapy </w:t>
      </w:r>
      <w:r w:rsidRPr="003464C0">
        <w:rPr>
          <w:rFonts w:cs="標楷體"/>
          <w:color w:val="000000"/>
          <w:szCs w:val="28"/>
          <w:vertAlign w:val="superscript"/>
        </w:rPr>
        <w:t>18</w:t>
      </w:r>
      <w:r w:rsidRPr="003464C0">
        <w:rPr>
          <w:rFonts w:cs="標楷體"/>
          <w:color w:val="000000"/>
          <w:szCs w:val="28"/>
        </w:rPr>
        <w:t>.</w:t>
      </w:r>
    </w:p>
    <w:p w:rsidR="00D1172B" w:rsidRPr="003464C0" w:rsidRDefault="00D1172B" w:rsidP="00D1172B">
      <w:pPr>
        <w:snapToGrid w:val="0"/>
        <w:spacing w:line="360" w:lineRule="auto"/>
        <w:jc w:val="both"/>
        <w:rPr>
          <w:rFonts w:cs="標楷體"/>
          <w:color w:val="000000"/>
          <w:szCs w:val="28"/>
        </w:rPr>
      </w:pPr>
    </w:p>
    <w:p w:rsidR="00F85CE4" w:rsidRDefault="00D1172B" w:rsidP="00D1172B">
      <w:pPr>
        <w:spacing w:line="360" w:lineRule="auto"/>
        <w:jc w:val="both"/>
        <w:rPr>
          <w:rFonts w:eastAsia="標楷體"/>
          <w:kern w:val="0"/>
        </w:rPr>
      </w:pPr>
      <w:r w:rsidRPr="003464C0">
        <w:rPr>
          <w:rFonts w:cs="標楷體"/>
          <w:color w:val="000000"/>
          <w:szCs w:val="28"/>
        </w:rPr>
        <w:t>However, a strategy of finite NA therapy needs to balance the risk of clinical flare and the chance of HBsAg clearance. Therefore, it is controversial whether patients with CHB may stop NAs before loss of HBsAg. The risks of serious outcomes have not been quantified in the real world. Bridging this knowledge gap is essential to inform the healthcare policy in weighting the pros and cons of stopping NA in CHB patients</w:t>
      </w:r>
      <w:r w:rsidRPr="00B92606">
        <w:rPr>
          <w:rFonts w:cs="標楷體"/>
          <w:szCs w:val="28"/>
        </w:rPr>
        <w:t>.</w:t>
      </w:r>
    </w:p>
    <w:p w:rsidR="006848D2" w:rsidRDefault="006848D2" w:rsidP="00D1172B">
      <w:pPr>
        <w:spacing w:line="360" w:lineRule="auto"/>
        <w:jc w:val="both"/>
        <w:rPr>
          <w:rFonts w:eastAsia="標楷體"/>
          <w:kern w:val="0"/>
        </w:rPr>
      </w:pPr>
    </w:p>
    <w:p w:rsidR="00D1172B" w:rsidRPr="00D1172B" w:rsidRDefault="00D1172B" w:rsidP="00D1172B">
      <w:pPr>
        <w:spacing w:line="360" w:lineRule="auto"/>
        <w:jc w:val="both"/>
        <w:rPr>
          <w:rFonts w:eastAsia="標楷體"/>
          <w:b/>
          <w:kern w:val="0"/>
        </w:rPr>
      </w:pPr>
      <w:r w:rsidRPr="00D1172B">
        <w:rPr>
          <w:rFonts w:eastAsia="標楷體" w:hint="eastAsia"/>
          <w:b/>
          <w:kern w:val="0"/>
        </w:rPr>
        <w:t>研究目標</w:t>
      </w:r>
      <w:r w:rsidRPr="00D1172B">
        <w:rPr>
          <w:rFonts w:eastAsia="標楷體" w:hint="eastAsia"/>
          <w:b/>
          <w:kern w:val="0"/>
        </w:rPr>
        <w:t>:</w:t>
      </w:r>
    </w:p>
    <w:p w:rsidR="00D1172B" w:rsidRPr="00D1172B" w:rsidRDefault="00D1172B" w:rsidP="00D1172B">
      <w:pPr>
        <w:numPr>
          <w:ilvl w:val="0"/>
          <w:numId w:val="4"/>
        </w:numPr>
        <w:spacing w:line="360" w:lineRule="auto"/>
        <w:jc w:val="both"/>
        <w:rPr>
          <w:rFonts w:eastAsia="標楷體"/>
          <w:kern w:val="0"/>
        </w:rPr>
      </w:pPr>
      <w:r w:rsidRPr="00D1172B">
        <w:rPr>
          <w:rFonts w:eastAsia="標楷體"/>
          <w:kern w:val="0"/>
        </w:rPr>
        <w:t>T</w:t>
      </w:r>
      <w:r w:rsidRPr="00D1172B">
        <w:rPr>
          <w:rFonts w:eastAsia="標楷體" w:hint="eastAsia"/>
          <w:kern w:val="0"/>
        </w:rPr>
        <w:t xml:space="preserve">o </w:t>
      </w:r>
      <w:r w:rsidRPr="00D1172B">
        <w:rPr>
          <w:rFonts w:eastAsia="標楷體"/>
          <w:kern w:val="0"/>
        </w:rPr>
        <w:t>quantify the incidences of liver failure and liver-related death after NA cessation</w:t>
      </w:r>
    </w:p>
    <w:p w:rsidR="00D1172B" w:rsidRPr="00D1172B" w:rsidRDefault="00D1172B" w:rsidP="00D1172B">
      <w:pPr>
        <w:numPr>
          <w:ilvl w:val="0"/>
          <w:numId w:val="4"/>
        </w:numPr>
        <w:spacing w:line="360" w:lineRule="auto"/>
        <w:jc w:val="both"/>
        <w:rPr>
          <w:rFonts w:eastAsia="標楷體"/>
          <w:kern w:val="0"/>
        </w:rPr>
      </w:pPr>
      <w:r w:rsidRPr="00D1172B">
        <w:rPr>
          <w:rFonts w:eastAsia="標楷體"/>
          <w:kern w:val="0"/>
        </w:rPr>
        <w:t>T</w:t>
      </w:r>
      <w:r w:rsidRPr="00D1172B">
        <w:rPr>
          <w:rFonts w:eastAsia="標楷體" w:hint="eastAsia"/>
          <w:kern w:val="0"/>
        </w:rPr>
        <w:t xml:space="preserve">o </w:t>
      </w:r>
      <w:r w:rsidRPr="00D1172B">
        <w:rPr>
          <w:rFonts w:eastAsia="標楷體"/>
          <w:kern w:val="0"/>
        </w:rPr>
        <w:t>characterize individuals at distinct risks of serious clinical outcomes</w:t>
      </w:r>
    </w:p>
    <w:p w:rsidR="00D1172B" w:rsidRPr="00D1172B" w:rsidRDefault="00D1172B" w:rsidP="00D1172B">
      <w:pPr>
        <w:numPr>
          <w:ilvl w:val="0"/>
          <w:numId w:val="4"/>
        </w:numPr>
        <w:spacing w:line="360" w:lineRule="auto"/>
        <w:jc w:val="both"/>
        <w:rPr>
          <w:rFonts w:eastAsia="標楷體"/>
          <w:kern w:val="0"/>
        </w:rPr>
      </w:pPr>
      <w:r w:rsidRPr="00D1172B">
        <w:rPr>
          <w:rFonts w:eastAsia="標楷體"/>
          <w:kern w:val="0"/>
        </w:rPr>
        <w:t>To calculate healthcare expenditure in the clinical events incurred by NA cessation</w:t>
      </w:r>
    </w:p>
    <w:p w:rsidR="00F552D7" w:rsidRDefault="006848D2" w:rsidP="00D1172B">
      <w:pPr>
        <w:spacing w:line="360" w:lineRule="auto"/>
        <w:jc w:val="both"/>
        <w:rPr>
          <w:color w:val="000000"/>
        </w:rPr>
      </w:pPr>
      <w:r>
        <w:rPr>
          <w:rFonts w:eastAsia="標楷體"/>
          <w:kern w:val="0"/>
        </w:rPr>
        <w:t xml:space="preserve"> </w:t>
      </w:r>
    </w:p>
    <w:p w:rsidR="00F552D7" w:rsidRDefault="00F552D7" w:rsidP="00D1172B">
      <w:pPr>
        <w:widowControl/>
        <w:kinsoku w:val="0"/>
        <w:spacing w:line="360" w:lineRule="auto"/>
        <w:ind w:left="567" w:hanging="482"/>
        <w:jc w:val="both"/>
        <w:textAlignment w:val="bottom"/>
        <w:rPr>
          <w:rFonts w:ascii="標楷體" w:eastAsia="標楷體" w:hAnsi="標楷體"/>
          <w:b/>
          <w:color w:val="000000"/>
        </w:rPr>
      </w:pPr>
      <w:r>
        <w:rPr>
          <w:rFonts w:ascii="標楷體" w:eastAsia="標楷體" w:hAnsi="標楷體" w:hint="eastAsia"/>
          <w:b/>
          <w:color w:val="000000"/>
        </w:rPr>
        <w:t>研究方法及步驟：</w:t>
      </w:r>
    </w:p>
    <w:p w:rsidR="00F85CE4" w:rsidRDefault="00F85CE4" w:rsidP="00D1172B">
      <w:pPr>
        <w:spacing w:line="480" w:lineRule="auto"/>
        <w:jc w:val="both"/>
        <w:rPr>
          <w:b/>
          <w:i/>
        </w:rPr>
      </w:pPr>
      <w:r>
        <w:rPr>
          <w:b/>
          <w:i/>
        </w:rPr>
        <w:t xml:space="preserve">Study design and </w:t>
      </w:r>
      <w:r w:rsidRPr="00D9138B">
        <w:rPr>
          <w:b/>
          <w:i/>
        </w:rPr>
        <w:t>setting</w:t>
      </w:r>
    </w:p>
    <w:p w:rsidR="00F85CE4" w:rsidRDefault="00D1172B" w:rsidP="00D1172B">
      <w:pPr>
        <w:spacing w:line="480" w:lineRule="auto"/>
        <w:ind w:firstLineChars="200" w:firstLine="480"/>
        <w:jc w:val="both"/>
      </w:pPr>
      <w:r>
        <w:rPr>
          <w:rFonts w:hint="eastAsia"/>
        </w:rPr>
        <w:t>This is a</w:t>
      </w:r>
      <w:r w:rsidRPr="00D1172B">
        <w:t xml:space="preserve"> </w:t>
      </w:r>
      <w:r w:rsidRPr="00D1172B">
        <w:rPr>
          <w:rFonts w:hint="eastAsia"/>
        </w:rPr>
        <w:t xml:space="preserve">retrospective cohort study </w:t>
      </w:r>
      <w:r w:rsidRPr="00D1172B">
        <w:t>based on analysis of the electronic healthcare database of 8 hospitals (E-Da Hospital, E-Da Cancer Hospital, Lotung Poh-Ai Hospital, National Taiwan University Hospital-Yunlin, Veterans General Hospital-Taichung and Taipei, Tainan Municipal Hospital, and Chia-Yi Christian Hospital) in Taiwan</w:t>
      </w:r>
      <w:r>
        <w:rPr>
          <w:rFonts w:hint="eastAsia"/>
        </w:rPr>
        <w:t xml:space="preserve">. </w:t>
      </w:r>
      <w:r>
        <w:t>We will screen a</w:t>
      </w:r>
      <w:r w:rsidRPr="00D1172B">
        <w:t>ll previously untreated CHB patients who stopped NA therapy after at least 12 months on therapy</w:t>
      </w:r>
      <w:r>
        <w:t xml:space="preserve"> for eligibility</w:t>
      </w:r>
      <w:r w:rsidRPr="00D1172B">
        <w:t>.</w:t>
      </w:r>
    </w:p>
    <w:p w:rsidR="00F85CE4" w:rsidRPr="00961DD0" w:rsidRDefault="00F85CE4" w:rsidP="00D1172B">
      <w:pPr>
        <w:spacing w:line="480" w:lineRule="auto"/>
        <w:jc w:val="both"/>
      </w:pPr>
    </w:p>
    <w:p w:rsidR="00F85CE4" w:rsidRPr="00BE0319" w:rsidRDefault="00F85CE4" w:rsidP="00D1172B">
      <w:pPr>
        <w:spacing w:line="480" w:lineRule="auto"/>
        <w:jc w:val="both"/>
        <w:rPr>
          <w:b/>
          <w:i/>
        </w:rPr>
      </w:pPr>
      <w:r w:rsidRPr="00BE0319">
        <w:rPr>
          <w:b/>
          <w:i/>
        </w:rPr>
        <w:t>Patient population</w:t>
      </w:r>
    </w:p>
    <w:p w:rsidR="00F85CE4" w:rsidRPr="00D1172B" w:rsidRDefault="00D1172B" w:rsidP="007C6DF1">
      <w:pPr>
        <w:spacing w:line="480" w:lineRule="auto"/>
        <w:jc w:val="both"/>
      </w:pPr>
      <w:r>
        <w:rPr>
          <w:rFonts w:hint="eastAsia"/>
        </w:rPr>
        <w:t>Included patients must fulfill all of the following criter</w:t>
      </w:r>
      <w:r>
        <w:t>i</w:t>
      </w:r>
      <w:r>
        <w:rPr>
          <w:rFonts w:hint="eastAsia"/>
        </w:rPr>
        <w:t>a: a</w:t>
      </w:r>
      <w:r>
        <w:t xml:space="preserve">dult patients </w:t>
      </w:r>
      <w:r>
        <w:t>aged 20 years or older</w:t>
      </w:r>
      <w:r w:rsidR="007C6DF1">
        <w:t xml:space="preserve"> with a diagnosis of chronic </w:t>
      </w:r>
      <w:r>
        <w:t>hepatitis B virus, defined as HBsAg positive for 6 months or longer</w:t>
      </w:r>
      <w:r w:rsidR="007C6DF1">
        <w:t xml:space="preserve"> who c</w:t>
      </w:r>
      <w:r>
        <w:t>ompleted antiviral therapy using any NA for a minimum of one year and discontinuation of the treatment for at least one month</w:t>
      </w:r>
      <w:r w:rsidR="007C6DF1">
        <w:t>. They were excluded if any of the following condition exists: e</w:t>
      </w:r>
      <w:r w:rsidR="007C6DF1">
        <w:t>ver exposure to any NA or interferon for more than one month</w:t>
      </w:r>
      <w:r w:rsidR="007C6DF1">
        <w:rPr>
          <w:rFonts w:hint="eastAsia"/>
        </w:rPr>
        <w:t>, a</w:t>
      </w:r>
      <w:r w:rsidR="007C6DF1">
        <w:t>ny malignant d</w:t>
      </w:r>
      <w:r w:rsidR="007C6DF1">
        <w:t>isease or organ transplantation</w:t>
      </w:r>
      <w:r w:rsidR="007C6DF1">
        <w:rPr>
          <w:rFonts w:hint="eastAsia"/>
        </w:rPr>
        <w:t>, or m</w:t>
      </w:r>
      <w:r w:rsidR="007C6DF1">
        <w:t>anifestation of hepatic decompensation when the antiviral therapy was discontinued</w:t>
      </w:r>
      <w:r w:rsidR="007C6DF1">
        <w:t>.</w:t>
      </w:r>
    </w:p>
    <w:p w:rsidR="00F85CE4" w:rsidRPr="00183DDB" w:rsidRDefault="00F85CE4" w:rsidP="00F85CE4">
      <w:pPr>
        <w:spacing w:line="480" w:lineRule="auto"/>
        <w:jc w:val="both"/>
      </w:pPr>
    </w:p>
    <w:p w:rsidR="00F85CE4" w:rsidRPr="00D9138B" w:rsidRDefault="007C6DF1" w:rsidP="00F85CE4">
      <w:pPr>
        <w:spacing w:line="480" w:lineRule="auto"/>
        <w:jc w:val="both"/>
        <w:rPr>
          <w:b/>
          <w:i/>
        </w:rPr>
      </w:pPr>
      <w:r>
        <w:rPr>
          <w:b/>
          <w:i/>
        </w:rPr>
        <w:t>Data collection and patient follow-up</w:t>
      </w:r>
      <w:r w:rsidR="00F85CE4">
        <w:rPr>
          <w:b/>
          <w:i/>
        </w:rPr>
        <w:t xml:space="preserve"> </w:t>
      </w:r>
    </w:p>
    <w:p w:rsidR="00F85CE4" w:rsidRDefault="004101A8" w:rsidP="00F85CE4">
      <w:pPr>
        <w:spacing w:line="480" w:lineRule="auto"/>
        <w:jc w:val="both"/>
      </w:pPr>
      <w:r w:rsidRPr="004101A8">
        <w:t>After identifying the eligible patients from the computerized database, we will record pertinent information including demographics, blood chemistry, hemogram, viral serology, and relevant data such as health-related behavior Accuracy of the abstracted information will be audited by the investigators, who will also ascertain the outcome of each enrolled subject. Those with cirrhosis remain eligible for analysis because the reimbursement is finite in Taiwan in the absence of splenomegaly, esophagogastric varices, or pretreatment viremia &gt;2,000 IU/mL. Eligible patients will be followed up for the outcomes listed below until death or data censoring:</w:t>
      </w:r>
    </w:p>
    <w:p w:rsidR="00F85CE4" w:rsidRDefault="00F85CE4" w:rsidP="00F85CE4">
      <w:pPr>
        <w:spacing w:line="480" w:lineRule="auto"/>
        <w:jc w:val="both"/>
      </w:pPr>
    </w:p>
    <w:p w:rsidR="00F85CE4" w:rsidRDefault="00F85CE4" w:rsidP="00F85CE4">
      <w:pPr>
        <w:spacing w:line="480" w:lineRule="auto"/>
        <w:jc w:val="both"/>
        <w:rPr>
          <w:b/>
          <w:i/>
        </w:rPr>
      </w:pPr>
      <w:r>
        <w:rPr>
          <w:b/>
          <w:i/>
        </w:rPr>
        <w:t>L</w:t>
      </w:r>
      <w:r w:rsidRPr="00D9138B">
        <w:rPr>
          <w:b/>
          <w:i/>
        </w:rPr>
        <w:t>ongitudinal follow</w:t>
      </w:r>
      <w:r>
        <w:rPr>
          <w:b/>
          <w:i/>
        </w:rPr>
        <w:t>-</w:t>
      </w:r>
      <w:r w:rsidRPr="00D9138B">
        <w:rPr>
          <w:b/>
          <w:i/>
        </w:rPr>
        <w:t>up and outcome measure</w:t>
      </w:r>
    </w:p>
    <w:p w:rsidR="00F85CE4" w:rsidRDefault="00F85CE4" w:rsidP="004101A8">
      <w:pPr>
        <w:spacing w:line="480" w:lineRule="auto"/>
        <w:jc w:val="both"/>
        <w:rPr>
          <w:rFonts w:eastAsia="標楷體"/>
        </w:rPr>
      </w:pPr>
      <w:r>
        <w:rPr>
          <w:rFonts w:eastAsia="標楷體"/>
        </w:rPr>
        <w:t>The primary study outcome was the development of</w:t>
      </w:r>
      <w:r w:rsidRPr="00652AAD">
        <w:rPr>
          <w:rFonts w:eastAsia="標楷體"/>
        </w:rPr>
        <w:t xml:space="preserve"> </w:t>
      </w:r>
      <w:r w:rsidR="004101A8">
        <w:rPr>
          <w:rFonts w:eastAsia="標楷體"/>
        </w:rPr>
        <w:t>acute on chronic liver failure (ACLF), as defined by the Asian-Pacific Association for the Study of Liver Diseases</w:t>
      </w:r>
      <w:r>
        <w:rPr>
          <w:rFonts w:eastAsia="標楷體"/>
        </w:rPr>
        <w:t xml:space="preserve">. </w:t>
      </w:r>
      <w:r w:rsidR="004101A8">
        <w:rPr>
          <w:rFonts w:eastAsia="標楷體"/>
        </w:rPr>
        <w:t>The secondary outcomes are mortality resulting from ACLF</w:t>
      </w:r>
      <w:r w:rsidR="004101A8">
        <w:rPr>
          <w:rFonts w:eastAsia="標楷體" w:hint="eastAsia"/>
        </w:rPr>
        <w:t xml:space="preserve">, </w:t>
      </w:r>
      <w:r w:rsidR="004101A8">
        <w:rPr>
          <w:rFonts w:eastAsia="標楷體"/>
        </w:rPr>
        <w:t>acute exacerbation (AE) of CHB</w:t>
      </w:r>
      <w:r w:rsidR="004101A8" w:rsidRPr="004101A8">
        <w:rPr>
          <w:rFonts w:eastAsia="標楷體"/>
        </w:rPr>
        <w:t xml:space="preserve"> defined as ALT&gt;20</w:t>
      </w:r>
      <w:r w:rsidR="004101A8">
        <w:rPr>
          <w:rFonts w:eastAsia="標楷體"/>
        </w:rPr>
        <w:t>0 U/L with viremia &gt;2,000 IU/mL</w:t>
      </w:r>
      <w:r w:rsidR="004101A8">
        <w:rPr>
          <w:rFonts w:eastAsia="標楷體" w:hint="eastAsia"/>
        </w:rPr>
        <w:t>, h</w:t>
      </w:r>
      <w:r w:rsidR="004101A8">
        <w:rPr>
          <w:rFonts w:eastAsia="標楷體"/>
        </w:rPr>
        <w:t>epatic decompensation</w:t>
      </w:r>
      <w:r w:rsidR="004101A8" w:rsidRPr="004101A8">
        <w:rPr>
          <w:rFonts w:eastAsia="標楷體"/>
        </w:rPr>
        <w:t xml:space="preserve"> defined as serum </w:t>
      </w:r>
      <w:r w:rsidR="004101A8">
        <w:rPr>
          <w:rFonts w:eastAsia="標楷體"/>
        </w:rPr>
        <w:t>bilirubin &gt;5 mg/dL and INR &gt;1.5</w:t>
      </w:r>
      <w:r w:rsidR="004101A8">
        <w:rPr>
          <w:rFonts w:eastAsia="標楷體" w:hint="eastAsia"/>
        </w:rPr>
        <w:t>, h</w:t>
      </w:r>
      <w:r w:rsidR="004101A8" w:rsidRPr="004101A8">
        <w:rPr>
          <w:rFonts w:eastAsia="標楷體"/>
        </w:rPr>
        <w:t>ospitalizations/ICU admission due to AE of</w:t>
      </w:r>
      <w:r w:rsidR="004101A8">
        <w:rPr>
          <w:rFonts w:eastAsia="標楷體"/>
        </w:rPr>
        <w:t xml:space="preserve"> CHB or hepatic decompensation</w:t>
      </w:r>
      <w:r w:rsidR="004101A8">
        <w:rPr>
          <w:rFonts w:eastAsia="標楷體" w:hint="eastAsia"/>
        </w:rPr>
        <w:t>,</w:t>
      </w:r>
      <w:r w:rsidR="004101A8">
        <w:rPr>
          <w:rFonts w:eastAsia="標楷體"/>
        </w:rPr>
        <w:t xml:space="preserve"> and</w:t>
      </w:r>
      <w:r w:rsidR="004101A8">
        <w:rPr>
          <w:rFonts w:eastAsia="標楷體" w:hint="eastAsia"/>
        </w:rPr>
        <w:t xml:space="preserve"> h</w:t>
      </w:r>
      <w:r w:rsidR="004101A8" w:rsidRPr="004101A8">
        <w:rPr>
          <w:rFonts w:eastAsia="標楷體"/>
        </w:rPr>
        <w:t>epatocellular carcinoma (HCC)</w:t>
      </w:r>
      <w:r w:rsidR="004101A8">
        <w:rPr>
          <w:rFonts w:eastAsia="標楷體"/>
        </w:rPr>
        <w:t xml:space="preserve">. </w:t>
      </w:r>
      <w:r>
        <w:rPr>
          <w:rFonts w:eastAsia="標楷體"/>
        </w:rPr>
        <w:t>Generally, the frequency of surveillance was every 6 months in patients without cirrhosis and 3 months in those with cirrhosis. Patients were censored at</w:t>
      </w:r>
      <w:r w:rsidRPr="00652AAD">
        <w:rPr>
          <w:rFonts w:eastAsia="標楷體"/>
        </w:rPr>
        <w:t xml:space="preserve"> loss to follow-up, death, or </w:t>
      </w:r>
      <w:r w:rsidR="004101A8">
        <w:rPr>
          <w:rFonts w:eastAsia="標楷體"/>
        </w:rPr>
        <w:t>the last follow-up date on June 01, 2019.</w:t>
      </w:r>
    </w:p>
    <w:p w:rsidR="00F85CE4" w:rsidRPr="004101A8" w:rsidRDefault="00F85CE4" w:rsidP="00F85CE4">
      <w:pPr>
        <w:spacing w:line="480" w:lineRule="auto"/>
        <w:jc w:val="both"/>
        <w:rPr>
          <w:rFonts w:eastAsia="標楷體"/>
        </w:rPr>
      </w:pPr>
    </w:p>
    <w:p w:rsidR="00F85CE4" w:rsidRDefault="00F85CE4" w:rsidP="00F85CE4">
      <w:pPr>
        <w:spacing w:line="480" w:lineRule="auto"/>
        <w:jc w:val="both"/>
        <w:rPr>
          <w:rFonts w:eastAsia="標楷體"/>
          <w:b/>
          <w:i/>
        </w:rPr>
      </w:pPr>
      <w:r>
        <w:rPr>
          <w:rFonts w:eastAsia="標楷體"/>
          <w:b/>
          <w:i/>
        </w:rPr>
        <w:t xml:space="preserve">Statistical analysis </w:t>
      </w:r>
    </w:p>
    <w:p w:rsidR="00F85CE4" w:rsidRDefault="004101A8" w:rsidP="00F85CE4">
      <w:pPr>
        <w:spacing w:line="480" w:lineRule="auto"/>
        <w:jc w:val="both"/>
        <w:rPr>
          <w:rFonts w:eastAsia="標楷體"/>
        </w:rPr>
      </w:pPr>
      <w:r w:rsidRPr="004101A8">
        <w:rPr>
          <w:rFonts w:eastAsia="標楷體"/>
          <w:color w:val="000000"/>
          <w:kern w:val="0"/>
        </w:rPr>
        <w:t>Continuous variables are expressed with mean and standard deviation, and categorical variables with proportions. Death occurring prior to the non-fatal events may be considered as a competing risk event. The modified Kaplan-Meier method and the Gray's method were used to calculate the cumulative incidences. Factors that are associated with the events are analyzed by the modified Cox proportional hazard model adjusted for competing risks and multiple covariates. The hazard ratio (HR) along with its 95% confidence interval (CI) will be reported. Data was managed and analyzed by the commercially available software (Stata, version 13.0; Stata Corp, College Station, TX, USA). The competing risk analyses were performed using the R software with the “cmprsk_2.1-4” package. A p value &lt;0.05 defined statistical significance.</w:t>
      </w:r>
    </w:p>
    <w:p w:rsidR="00B07BAC" w:rsidRPr="000B1A12" w:rsidRDefault="00F85CE4" w:rsidP="00F85CE4">
      <w:pPr>
        <w:autoSpaceDE w:val="0"/>
        <w:autoSpaceDN w:val="0"/>
        <w:adjustRightInd w:val="0"/>
        <w:spacing w:line="360" w:lineRule="auto"/>
        <w:ind w:firstLineChars="200" w:firstLine="480"/>
        <w:jc w:val="both"/>
        <w:rPr>
          <w:lang w:val="en-GB"/>
        </w:rPr>
      </w:pPr>
      <w:r>
        <w:rPr>
          <w:rFonts w:eastAsia="標楷體"/>
        </w:rPr>
        <w:t xml:space="preserve"> </w:t>
      </w:r>
      <w:r w:rsidR="00B33CC1" w:rsidRPr="00B33CC1">
        <w:rPr>
          <w:color w:val="000000"/>
          <w:szCs w:val="22"/>
          <w:lang w:val="en-GB"/>
        </w:rPr>
        <w:t xml:space="preserve"> </w:t>
      </w:r>
    </w:p>
    <w:p w:rsidR="00B33CC1" w:rsidRPr="00D500D6" w:rsidRDefault="00B33CC1" w:rsidP="00D12F75">
      <w:pPr>
        <w:spacing w:line="360" w:lineRule="auto"/>
        <w:jc w:val="both"/>
        <w:rPr>
          <w:rFonts w:ascii="標楷體" w:eastAsia="標楷體"/>
          <w:sz w:val="22"/>
          <w:lang w:val="en-GB"/>
        </w:rPr>
      </w:pPr>
    </w:p>
    <w:p w:rsidR="000B1A12" w:rsidRDefault="00F552D7" w:rsidP="00D12F75">
      <w:pPr>
        <w:spacing w:line="360" w:lineRule="auto"/>
        <w:jc w:val="both"/>
        <w:rPr>
          <w:b/>
          <w:bCs/>
          <w:caps/>
          <w:color w:val="000000"/>
          <w:sz w:val="20"/>
        </w:rPr>
      </w:pPr>
      <w:r w:rsidRPr="00D500D6">
        <w:rPr>
          <w:rFonts w:hint="eastAsia"/>
          <w:b/>
          <w:bCs/>
          <w:caps/>
          <w:color w:val="000000"/>
          <w:szCs w:val="32"/>
        </w:rPr>
        <w:t xml:space="preserve">References: </w:t>
      </w:r>
    </w:p>
    <w:p w:rsidR="004101A8" w:rsidRPr="004101A8" w:rsidRDefault="004101A8" w:rsidP="004101A8">
      <w:pPr>
        <w:ind w:left="720" w:hanging="720"/>
        <w:rPr>
          <w:rFonts w:ascii="Calibri" w:hAnsi="Calibri" w:cs="Calibri"/>
          <w:noProof/>
          <w:szCs w:val="22"/>
        </w:rPr>
      </w:pPr>
      <w:r>
        <w:rPr>
          <w:rFonts w:ascii="Calibri" w:hAnsi="Calibri" w:cs="Calibri"/>
          <w:noProof/>
          <w:szCs w:val="22"/>
        </w:rPr>
        <w:t xml:space="preserve">1.    </w:t>
      </w:r>
      <w:bookmarkStart w:id="0" w:name="_GoBack"/>
      <w:bookmarkEnd w:id="0"/>
      <w:r w:rsidRPr="004101A8">
        <w:rPr>
          <w:rFonts w:ascii="Calibri" w:hAnsi="Calibri" w:cs="Calibri"/>
          <w:noProof/>
          <w:szCs w:val="22"/>
        </w:rPr>
        <w:t xml:space="preserve">Sarin SK, Kumar M, Lau GK, et al. Asian-Pacific clinical practice guidelines on the management of hepatitis B: a 2015 update. </w:t>
      </w:r>
      <w:r w:rsidRPr="004101A8">
        <w:rPr>
          <w:rFonts w:ascii="Calibri" w:hAnsi="Calibri" w:cs="Calibri"/>
          <w:i/>
          <w:noProof/>
          <w:szCs w:val="22"/>
        </w:rPr>
        <w:t xml:space="preserve">Hepatol Int. </w:t>
      </w:r>
      <w:r w:rsidRPr="004101A8">
        <w:rPr>
          <w:rFonts w:ascii="Calibri" w:hAnsi="Calibri" w:cs="Calibri"/>
          <w:noProof/>
          <w:szCs w:val="22"/>
        </w:rPr>
        <w:t>2016;10(1):1-98.</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2.</w:t>
      </w:r>
      <w:r w:rsidRPr="004101A8">
        <w:rPr>
          <w:rFonts w:ascii="Calibri" w:hAnsi="Calibri" w:cs="Calibri"/>
          <w:noProof/>
          <w:szCs w:val="22"/>
        </w:rPr>
        <w:tab/>
        <w:t xml:space="preserve">European Association for the Study of the Liver. Electronic address eee, European Association for the Study of the L. EASL 2017 Clinical Practice Guidelines on the management of hepatitis B virus infection. </w:t>
      </w:r>
      <w:r w:rsidRPr="004101A8">
        <w:rPr>
          <w:rFonts w:ascii="Calibri" w:hAnsi="Calibri" w:cs="Calibri"/>
          <w:i/>
          <w:noProof/>
          <w:szCs w:val="22"/>
        </w:rPr>
        <w:t xml:space="preserve">J Hepatol. </w:t>
      </w:r>
      <w:r w:rsidRPr="004101A8">
        <w:rPr>
          <w:rFonts w:ascii="Calibri" w:hAnsi="Calibri" w:cs="Calibri"/>
          <w:noProof/>
          <w:szCs w:val="22"/>
        </w:rPr>
        <w:t>2017;67(2):370-398.</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3.</w:t>
      </w:r>
      <w:r w:rsidRPr="004101A8">
        <w:rPr>
          <w:rFonts w:ascii="Calibri" w:hAnsi="Calibri" w:cs="Calibri"/>
          <w:noProof/>
          <w:szCs w:val="22"/>
        </w:rPr>
        <w:tab/>
        <w:t xml:space="preserve">Terrault NA, Lok ASF, McMahon BJ, et al. Update on prevention, diagnosis, and treatment of chronic hepatitis B: AASLD 2018 hepatitis B guidance. </w:t>
      </w:r>
      <w:r w:rsidRPr="004101A8">
        <w:rPr>
          <w:rFonts w:ascii="Calibri" w:hAnsi="Calibri" w:cs="Calibri"/>
          <w:i/>
          <w:noProof/>
          <w:szCs w:val="22"/>
        </w:rPr>
        <w:t xml:space="preserve">Hepatology. </w:t>
      </w:r>
      <w:r w:rsidRPr="004101A8">
        <w:rPr>
          <w:rFonts w:ascii="Calibri" w:hAnsi="Calibri" w:cs="Calibri"/>
          <w:noProof/>
          <w:szCs w:val="22"/>
        </w:rPr>
        <w:t>2018;67(4):1560-1599.</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4.</w:t>
      </w:r>
      <w:r w:rsidRPr="004101A8">
        <w:rPr>
          <w:rFonts w:ascii="Calibri" w:hAnsi="Calibri" w:cs="Calibri"/>
          <w:noProof/>
          <w:szCs w:val="22"/>
        </w:rPr>
        <w:tab/>
        <w:t xml:space="preserve">Chang TT, Liaw YF, Wu SS, et al. Long-term entecavir therapy results in the reversal of fibrosis/cirrhosis and continued histological improvement in patients with chronic hepatitis B. </w:t>
      </w:r>
      <w:r w:rsidRPr="004101A8">
        <w:rPr>
          <w:rFonts w:ascii="Calibri" w:hAnsi="Calibri" w:cs="Calibri"/>
          <w:i/>
          <w:noProof/>
          <w:szCs w:val="22"/>
        </w:rPr>
        <w:t xml:space="preserve">Hepatology. </w:t>
      </w:r>
      <w:r w:rsidRPr="004101A8">
        <w:rPr>
          <w:rFonts w:ascii="Calibri" w:hAnsi="Calibri" w:cs="Calibri"/>
          <w:noProof/>
          <w:szCs w:val="22"/>
        </w:rPr>
        <w:t>2010;52(3):886-893.</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5.</w:t>
      </w:r>
      <w:r w:rsidRPr="004101A8">
        <w:rPr>
          <w:rFonts w:ascii="Calibri" w:hAnsi="Calibri" w:cs="Calibri"/>
          <w:noProof/>
          <w:szCs w:val="22"/>
        </w:rPr>
        <w:tab/>
        <w:t xml:space="preserve">Wu CY, Lin JT, Ho HJ, et al. Association of nucleos(t)ide analogue therapy with reduced risk of hepatocellular carcinoma in patients with chronic hepatitis B: a nationwide cohort study. </w:t>
      </w:r>
      <w:r w:rsidRPr="004101A8">
        <w:rPr>
          <w:rFonts w:ascii="Calibri" w:hAnsi="Calibri" w:cs="Calibri"/>
          <w:i/>
          <w:noProof/>
          <w:szCs w:val="22"/>
        </w:rPr>
        <w:t xml:space="preserve">Gastroenterology. </w:t>
      </w:r>
      <w:r w:rsidRPr="004101A8">
        <w:rPr>
          <w:rFonts w:ascii="Calibri" w:hAnsi="Calibri" w:cs="Calibri"/>
          <w:noProof/>
          <w:szCs w:val="22"/>
        </w:rPr>
        <w:t>2014;147(1):143-151 e145.</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6.</w:t>
      </w:r>
      <w:r w:rsidRPr="004101A8">
        <w:rPr>
          <w:rFonts w:ascii="Calibri" w:hAnsi="Calibri" w:cs="Calibri"/>
          <w:noProof/>
          <w:szCs w:val="22"/>
        </w:rPr>
        <w:tab/>
        <w:t xml:space="preserve">Marcellin P, Gane E, Buti M, et al. Regression of cirrhosis during treatment with tenofovir disoproxil fumarate for chronic hepatitis B: a 5-year open-label follow-up study. </w:t>
      </w:r>
      <w:r w:rsidRPr="004101A8">
        <w:rPr>
          <w:rFonts w:ascii="Calibri" w:hAnsi="Calibri" w:cs="Calibri"/>
          <w:i/>
          <w:noProof/>
          <w:szCs w:val="22"/>
        </w:rPr>
        <w:t xml:space="preserve">Lancet. </w:t>
      </w:r>
      <w:r w:rsidRPr="004101A8">
        <w:rPr>
          <w:rFonts w:ascii="Calibri" w:hAnsi="Calibri" w:cs="Calibri"/>
          <w:noProof/>
          <w:szCs w:val="22"/>
        </w:rPr>
        <w:t>2013;381(9865):468-475.</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7.</w:t>
      </w:r>
      <w:r w:rsidRPr="004101A8">
        <w:rPr>
          <w:rFonts w:ascii="Calibri" w:hAnsi="Calibri" w:cs="Calibri"/>
          <w:noProof/>
          <w:szCs w:val="22"/>
        </w:rPr>
        <w:tab/>
        <w:t xml:space="preserve">Seto WK, Hui AJ, Wong VW, et al. Treatment cessation of entecavir in Asian patients with hepatitis B e antigen negative chronic hepatitis B: a multicentre prospective study. </w:t>
      </w:r>
      <w:r w:rsidRPr="004101A8">
        <w:rPr>
          <w:rFonts w:ascii="Calibri" w:hAnsi="Calibri" w:cs="Calibri"/>
          <w:i/>
          <w:noProof/>
          <w:szCs w:val="22"/>
        </w:rPr>
        <w:t xml:space="preserve">Gut. </w:t>
      </w:r>
      <w:r w:rsidRPr="004101A8">
        <w:rPr>
          <w:rFonts w:ascii="Calibri" w:hAnsi="Calibri" w:cs="Calibri"/>
          <w:noProof/>
          <w:szCs w:val="22"/>
        </w:rPr>
        <w:t>2015;64(4):667-672.</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8.</w:t>
      </w:r>
      <w:r w:rsidRPr="004101A8">
        <w:rPr>
          <w:rFonts w:ascii="Calibri" w:hAnsi="Calibri" w:cs="Calibri"/>
          <w:noProof/>
          <w:szCs w:val="22"/>
        </w:rPr>
        <w:tab/>
        <w:t xml:space="preserve">Hsu YC, Mo LR, Chang CY, et al. Association Between Serum Level of Hepatitis B Surface Antigen at End of Entecavir Therapy and Risk of Relapse in E Antigen-Negative Patients. </w:t>
      </w:r>
      <w:r w:rsidRPr="004101A8">
        <w:rPr>
          <w:rFonts w:ascii="Calibri" w:hAnsi="Calibri" w:cs="Calibri"/>
          <w:i/>
          <w:noProof/>
          <w:szCs w:val="22"/>
        </w:rPr>
        <w:t xml:space="preserve">Clin Gastroenterol Hepatol. </w:t>
      </w:r>
      <w:r w:rsidRPr="004101A8">
        <w:rPr>
          <w:rFonts w:ascii="Calibri" w:hAnsi="Calibri" w:cs="Calibri"/>
          <w:noProof/>
          <w:szCs w:val="22"/>
        </w:rPr>
        <w:t>2016;14(10):1490-1498 e1493.</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9.</w:t>
      </w:r>
      <w:r w:rsidRPr="004101A8">
        <w:rPr>
          <w:rFonts w:ascii="Calibri" w:hAnsi="Calibri" w:cs="Calibri"/>
          <w:noProof/>
          <w:szCs w:val="22"/>
        </w:rPr>
        <w:tab/>
        <w:t xml:space="preserve">Chen CH, Hsu YC, Lu SN, et al. The incidence and predictors of HBV relapse after cessation of tenofovir therapy in chronic hepatitis B patients. </w:t>
      </w:r>
      <w:r w:rsidRPr="004101A8">
        <w:rPr>
          <w:rFonts w:ascii="Calibri" w:hAnsi="Calibri" w:cs="Calibri"/>
          <w:i/>
          <w:noProof/>
          <w:szCs w:val="22"/>
        </w:rPr>
        <w:t xml:space="preserve">J Viral Hepat. </w:t>
      </w:r>
      <w:r w:rsidRPr="004101A8">
        <w:rPr>
          <w:rFonts w:ascii="Calibri" w:hAnsi="Calibri" w:cs="Calibri"/>
          <w:noProof/>
          <w:szCs w:val="22"/>
        </w:rPr>
        <w:t>2017.</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10.</w:t>
      </w:r>
      <w:r w:rsidRPr="004101A8">
        <w:rPr>
          <w:rFonts w:ascii="Calibri" w:hAnsi="Calibri" w:cs="Calibri"/>
          <w:noProof/>
          <w:szCs w:val="22"/>
        </w:rPr>
        <w:tab/>
        <w:t xml:space="preserve">Hsu YC, Mo LR, Chang CY, et al. Serum viral load at the virological relapse predicts subsequent clinical flares in chronic hepatitis B patients off entecavir therapy. </w:t>
      </w:r>
      <w:r w:rsidRPr="004101A8">
        <w:rPr>
          <w:rFonts w:ascii="Calibri" w:hAnsi="Calibri" w:cs="Calibri"/>
          <w:i/>
          <w:noProof/>
          <w:szCs w:val="22"/>
        </w:rPr>
        <w:t xml:space="preserve">J Gastroenterol Hepatol. </w:t>
      </w:r>
      <w:r w:rsidRPr="004101A8">
        <w:rPr>
          <w:rFonts w:ascii="Calibri" w:hAnsi="Calibri" w:cs="Calibri"/>
          <w:noProof/>
          <w:szCs w:val="22"/>
        </w:rPr>
        <w:t>2017;32(8):1512-1519.</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11.</w:t>
      </w:r>
      <w:r w:rsidRPr="004101A8">
        <w:rPr>
          <w:rFonts w:ascii="Calibri" w:hAnsi="Calibri" w:cs="Calibri"/>
          <w:noProof/>
          <w:szCs w:val="22"/>
        </w:rPr>
        <w:tab/>
        <w:t xml:space="preserve">Van Hees S, Bourgeois S, Van Vlierberghe H, et al. Stopping nucleos(t)ide analogue treatment in Caucasian hepatitis B patients after HBeAg seroconversion is associated with high relapse rates and fatal outcomes. </w:t>
      </w:r>
      <w:r w:rsidRPr="004101A8">
        <w:rPr>
          <w:rFonts w:ascii="Calibri" w:hAnsi="Calibri" w:cs="Calibri"/>
          <w:i/>
          <w:noProof/>
          <w:szCs w:val="22"/>
        </w:rPr>
        <w:t xml:space="preserve">Aliment Pharmacol Ther. </w:t>
      </w:r>
      <w:r w:rsidRPr="004101A8">
        <w:rPr>
          <w:rFonts w:ascii="Calibri" w:hAnsi="Calibri" w:cs="Calibri"/>
          <w:noProof/>
          <w:szCs w:val="22"/>
        </w:rPr>
        <w:t>2018;47(8):1170-1180.</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12.</w:t>
      </w:r>
      <w:r w:rsidRPr="004101A8">
        <w:rPr>
          <w:rFonts w:ascii="Calibri" w:hAnsi="Calibri" w:cs="Calibri"/>
          <w:noProof/>
          <w:szCs w:val="22"/>
        </w:rPr>
        <w:tab/>
        <w:t xml:space="preserve">Kim GA, Lim YS, An J, et al. HBsAg seroclearance after nucleoside analogue therapy in patients with chronic hepatitis B: clinical outcomes and durability. </w:t>
      </w:r>
      <w:r w:rsidRPr="004101A8">
        <w:rPr>
          <w:rFonts w:ascii="Calibri" w:hAnsi="Calibri" w:cs="Calibri"/>
          <w:i/>
          <w:noProof/>
          <w:szCs w:val="22"/>
        </w:rPr>
        <w:t xml:space="preserve">Gut. </w:t>
      </w:r>
      <w:r w:rsidRPr="004101A8">
        <w:rPr>
          <w:rFonts w:ascii="Calibri" w:hAnsi="Calibri" w:cs="Calibri"/>
          <w:noProof/>
          <w:szCs w:val="22"/>
        </w:rPr>
        <w:t>2014;63(8):1325-1332.</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13.</w:t>
      </w:r>
      <w:r w:rsidRPr="004101A8">
        <w:rPr>
          <w:rFonts w:ascii="Calibri" w:hAnsi="Calibri" w:cs="Calibri"/>
          <w:noProof/>
          <w:szCs w:val="22"/>
        </w:rPr>
        <w:tab/>
        <w:t xml:space="preserve">Yip TC, Wong GL, Wong VW, et al. Durability of hepatitis B surface antigen seroclearance in untreated and nucleos(t)ide analogue-treated patients. </w:t>
      </w:r>
      <w:r w:rsidRPr="004101A8">
        <w:rPr>
          <w:rFonts w:ascii="Calibri" w:hAnsi="Calibri" w:cs="Calibri"/>
          <w:i/>
          <w:noProof/>
          <w:szCs w:val="22"/>
        </w:rPr>
        <w:t xml:space="preserve">J Hepatol. </w:t>
      </w:r>
      <w:r w:rsidRPr="004101A8">
        <w:rPr>
          <w:rFonts w:ascii="Calibri" w:hAnsi="Calibri" w:cs="Calibri"/>
          <w:noProof/>
          <w:szCs w:val="22"/>
        </w:rPr>
        <w:t>2017.</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14.</w:t>
      </w:r>
      <w:r w:rsidRPr="004101A8">
        <w:rPr>
          <w:rFonts w:ascii="Calibri" w:hAnsi="Calibri" w:cs="Calibri"/>
          <w:noProof/>
          <w:szCs w:val="22"/>
        </w:rPr>
        <w:tab/>
        <w:t xml:space="preserve">Seto WK, Cheung KS, Wong DK, et al. Hepatitis B surface antigen seroclearance during nucleoside analogue therapy: surface antigen kinetics, outcomes, and durability. </w:t>
      </w:r>
      <w:r w:rsidRPr="004101A8">
        <w:rPr>
          <w:rFonts w:ascii="Calibri" w:hAnsi="Calibri" w:cs="Calibri"/>
          <w:i/>
          <w:noProof/>
          <w:szCs w:val="22"/>
        </w:rPr>
        <w:t xml:space="preserve">J Gastroenterol. </w:t>
      </w:r>
      <w:r w:rsidRPr="004101A8">
        <w:rPr>
          <w:rFonts w:ascii="Calibri" w:hAnsi="Calibri" w:cs="Calibri"/>
          <w:noProof/>
          <w:szCs w:val="22"/>
        </w:rPr>
        <w:t>2016;51(5):487-495.</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15.</w:t>
      </w:r>
      <w:r w:rsidRPr="004101A8">
        <w:rPr>
          <w:rFonts w:ascii="Calibri" w:hAnsi="Calibri" w:cs="Calibri"/>
          <w:noProof/>
          <w:szCs w:val="22"/>
        </w:rPr>
        <w:tab/>
        <w:t xml:space="preserve">Chevaliez S, Hezode C, Bahrami S, Grare M, Pawlotsky JM. Long-term hepatitis B surface antigen (HBsAg) kinetics during nucleoside/nucleotide analogue therapy: finite treatment duration unlikely. </w:t>
      </w:r>
      <w:r w:rsidRPr="004101A8">
        <w:rPr>
          <w:rFonts w:ascii="Calibri" w:hAnsi="Calibri" w:cs="Calibri"/>
          <w:i/>
          <w:noProof/>
          <w:szCs w:val="22"/>
        </w:rPr>
        <w:t xml:space="preserve">J Hepatol. </w:t>
      </w:r>
      <w:r w:rsidRPr="004101A8">
        <w:rPr>
          <w:rFonts w:ascii="Calibri" w:hAnsi="Calibri" w:cs="Calibri"/>
          <w:noProof/>
          <w:szCs w:val="22"/>
        </w:rPr>
        <w:t>2013;58(4):676-683.</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16.</w:t>
      </w:r>
      <w:r w:rsidRPr="004101A8">
        <w:rPr>
          <w:rFonts w:ascii="Calibri" w:hAnsi="Calibri" w:cs="Calibri"/>
          <w:noProof/>
          <w:szCs w:val="22"/>
        </w:rPr>
        <w:tab/>
        <w:t xml:space="preserve">Berg T, Simon KG, Mauss S, et al. Long-term response after stopping tenofovir disoproxil fumarate in non-cirrhotic HBeAg-negative patients - FINITE study. </w:t>
      </w:r>
      <w:r w:rsidRPr="004101A8">
        <w:rPr>
          <w:rFonts w:ascii="Calibri" w:hAnsi="Calibri" w:cs="Calibri"/>
          <w:i/>
          <w:noProof/>
          <w:szCs w:val="22"/>
        </w:rPr>
        <w:t xml:space="preserve">J Hepatol. </w:t>
      </w:r>
      <w:r w:rsidRPr="004101A8">
        <w:rPr>
          <w:rFonts w:ascii="Calibri" w:hAnsi="Calibri" w:cs="Calibri"/>
          <w:noProof/>
          <w:szCs w:val="22"/>
        </w:rPr>
        <w:t>2017;67(5):918-924.</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17.</w:t>
      </w:r>
      <w:r w:rsidRPr="004101A8">
        <w:rPr>
          <w:rFonts w:ascii="Calibri" w:hAnsi="Calibri" w:cs="Calibri"/>
          <w:noProof/>
          <w:szCs w:val="22"/>
        </w:rPr>
        <w:tab/>
        <w:t xml:space="preserve">Hung CH, Wang JH, Lu SN, Hu TH, Lee CM, Chen CH. Hepatitis B surface antigen loss and clinical outcomes between HBeAg-negative cirrhosis patients who discontinued or continued nucleoside analogue therapy. </w:t>
      </w:r>
      <w:r w:rsidRPr="004101A8">
        <w:rPr>
          <w:rFonts w:ascii="Calibri" w:hAnsi="Calibri" w:cs="Calibri"/>
          <w:i/>
          <w:noProof/>
          <w:szCs w:val="22"/>
        </w:rPr>
        <w:t xml:space="preserve">J Viral Hepat. </w:t>
      </w:r>
      <w:r w:rsidRPr="004101A8">
        <w:rPr>
          <w:rFonts w:ascii="Calibri" w:hAnsi="Calibri" w:cs="Calibri"/>
          <w:noProof/>
          <w:szCs w:val="22"/>
        </w:rPr>
        <w:t>2017;24(7):599-607.</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18.</w:t>
      </w:r>
      <w:r w:rsidRPr="004101A8">
        <w:rPr>
          <w:rFonts w:ascii="Calibri" w:hAnsi="Calibri" w:cs="Calibri"/>
          <w:noProof/>
          <w:szCs w:val="22"/>
        </w:rPr>
        <w:tab/>
        <w:t xml:space="preserve">Jeng WJ, Chen YC, Chien RN, Sheen IS, Liaw YF. Incidence and predictors of HBsAg seroclearance after cessation of nucleos(t)ide analogue therapy in HBeAg negative chronic hepatitis B. </w:t>
      </w:r>
      <w:r w:rsidRPr="004101A8">
        <w:rPr>
          <w:rFonts w:ascii="Calibri" w:hAnsi="Calibri" w:cs="Calibri"/>
          <w:i/>
          <w:noProof/>
          <w:szCs w:val="22"/>
        </w:rPr>
        <w:t xml:space="preserve">Hepatology. </w:t>
      </w:r>
      <w:r w:rsidRPr="004101A8">
        <w:rPr>
          <w:rFonts w:ascii="Calibri" w:hAnsi="Calibri" w:cs="Calibri"/>
          <w:noProof/>
          <w:szCs w:val="22"/>
        </w:rPr>
        <w:t>2017.</w:t>
      </w:r>
    </w:p>
    <w:p w:rsidR="004101A8" w:rsidRPr="004101A8" w:rsidRDefault="004101A8" w:rsidP="004101A8">
      <w:pPr>
        <w:ind w:left="720" w:hanging="720"/>
        <w:rPr>
          <w:rFonts w:ascii="Calibri" w:hAnsi="Calibri" w:cs="Calibri"/>
          <w:noProof/>
          <w:szCs w:val="22"/>
        </w:rPr>
      </w:pPr>
      <w:r w:rsidRPr="004101A8">
        <w:rPr>
          <w:rFonts w:ascii="Calibri" w:hAnsi="Calibri" w:cs="Calibri"/>
          <w:noProof/>
          <w:szCs w:val="22"/>
        </w:rPr>
        <w:t>19.</w:t>
      </w:r>
      <w:r w:rsidRPr="004101A8">
        <w:rPr>
          <w:rFonts w:ascii="Calibri" w:hAnsi="Calibri" w:cs="Calibri"/>
          <w:noProof/>
          <w:szCs w:val="22"/>
        </w:rPr>
        <w:tab/>
        <w:t xml:space="preserve">Chen CH, Hung CH, Hu TH, et al. Association Between Level of Hepatitis B Surface Antigen and Relapse After Entecavir Therapy for Chronic Hepatitis B Virus Infection. </w:t>
      </w:r>
      <w:r w:rsidRPr="004101A8">
        <w:rPr>
          <w:rFonts w:ascii="Calibri" w:hAnsi="Calibri" w:cs="Calibri"/>
          <w:i/>
          <w:noProof/>
          <w:szCs w:val="22"/>
        </w:rPr>
        <w:t xml:space="preserve">Clin Gastroenterol Hepatol. </w:t>
      </w:r>
      <w:r w:rsidRPr="004101A8">
        <w:rPr>
          <w:rFonts w:ascii="Calibri" w:hAnsi="Calibri" w:cs="Calibri"/>
          <w:noProof/>
          <w:szCs w:val="22"/>
        </w:rPr>
        <w:t>2015;13(11):1984-1992 e1981.</w:t>
      </w:r>
    </w:p>
    <w:p w:rsidR="00F552D7" w:rsidRPr="00F85CE4" w:rsidRDefault="004101A8" w:rsidP="004101A8">
      <w:pPr>
        <w:ind w:left="720" w:hanging="720"/>
        <w:rPr>
          <w:rFonts w:ascii="Calibri" w:hAnsi="Calibri" w:cs="Calibri"/>
          <w:noProof/>
          <w:szCs w:val="22"/>
        </w:rPr>
      </w:pPr>
      <w:r w:rsidRPr="004101A8">
        <w:rPr>
          <w:rFonts w:ascii="Calibri" w:hAnsi="Calibri" w:cs="Calibri"/>
          <w:noProof/>
          <w:szCs w:val="22"/>
        </w:rPr>
        <w:t>20.</w:t>
      </w:r>
      <w:r w:rsidRPr="004101A8">
        <w:rPr>
          <w:rFonts w:ascii="Calibri" w:hAnsi="Calibri" w:cs="Calibri"/>
          <w:noProof/>
          <w:szCs w:val="22"/>
        </w:rPr>
        <w:tab/>
        <w:t xml:space="preserve">Chen CH, Lu SN, Hung CH, et al. The role of hepatitis B surface antigen quantification in predicting HBsAg loss and HBV relapse after discontinuation of lamivudine treatment. </w:t>
      </w:r>
      <w:r w:rsidRPr="004101A8">
        <w:rPr>
          <w:rFonts w:ascii="Calibri" w:hAnsi="Calibri" w:cs="Calibri"/>
          <w:i/>
          <w:noProof/>
          <w:szCs w:val="22"/>
        </w:rPr>
        <w:t xml:space="preserve">J Hepatol. </w:t>
      </w:r>
      <w:r w:rsidRPr="004101A8">
        <w:rPr>
          <w:rFonts w:ascii="Calibri" w:hAnsi="Calibri" w:cs="Calibri"/>
          <w:noProof/>
          <w:szCs w:val="22"/>
        </w:rPr>
        <w:t>2014;61(3):515-522.</w:t>
      </w:r>
    </w:p>
    <w:sectPr w:rsidR="00F552D7" w:rsidRPr="00F85C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81" w:rsidRDefault="00626481" w:rsidP="002678C0">
      <w:r>
        <w:separator/>
      </w:r>
    </w:p>
  </w:endnote>
  <w:endnote w:type="continuationSeparator" w:id="0">
    <w:p w:rsidR="00626481" w:rsidRDefault="00626481"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81" w:rsidRDefault="00626481" w:rsidP="002678C0">
      <w:r>
        <w:separator/>
      </w:r>
    </w:p>
  </w:footnote>
  <w:footnote w:type="continuationSeparator" w:id="0">
    <w:p w:rsidR="00626481" w:rsidRDefault="00626481" w:rsidP="002678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E7AC6"/>
    <w:multiLevelType w:val="hybridMultilevel"/>
    <w:tmpl w:val="55306344"/>
    <w:lvl w:ilvl="0" w:tplc="BF06D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8C0"/>
    <w:rsid w:val="00057630"/>
    <w:rsid w:val="000B1A12"/>
    <w:rsid w:val="00106D38"/>
    <w:rsid w:val="001B6C88"/>
    <w:rsid w:val="001C352E"/>
    <w:rsid w:val="00217B41"/>
    <w:rsid w:val="002367E3"/>
    <w:rsid w:val="00261B60"/>
    <w:rsid w:val="0026489A"/>
    <w:rsid w:val="002678C0"/>
    <w:rsid w:val="002967FB"/>
    <w:rsid w:val="002C0C1B"/>
    <w:rsid w:val="002F0096"/>
    <w:rsid w:val="003142F5"/>
    <w:rsid w:val="00361966"/>
    <w:rsid w:val="00386058"/>
    <w:rsid w:val="00387823"/>
    <w:rsid w:val="003A19EC"/>
    <w:rsid w:val="003B12A7"/>
    <w:rsid w:val="003E48DD"/>
    <w:rsid w:val="003E4CFA"/>
    <w:rsid w:val="003F13BA"/>
    <w:rsid w:val="004101A8"/>
    <w:rsid w:val="00413F6C"/>
    <w:rsid w:val="0043431E"/>
    <w:rsid w:val="00437094"/>
    <w:rsid w:val="004B58CF"/>
    <w:rsid w:val="004E2477"/>
    <w:rsid w:val="0051680D"/>
    <w:rsid w:val="00526E1C"/>
    <w:rsid w:val="0055566E"/>
    <w:rsid w:val="005820CC"/>
    <w:rsid w:val="00587B80"/>
    <w:rsid w:val="005F4B5A"/>
    <w:rsid w:val="0061260B"/>
    <w:rsid w:val="00624B7B"/>
    <w:rsid w:val="00626481"/>
    <w:rsid w:val="0067476F"/>
    <w:rsid w:val="006848D2"/>
    <w:rsid w:val="006F121D"/>
    <w:rsid w:val="00704427"/>
    <w:rsid w:val="00721751"/>
    <w:rsid w:val="007352D5"/>
    <w:rsid w:val="00782894"/>
    <w:rsid w:val="00783C3D"/>
    <w:rsid w:val="007A0FC9"/>
    <w:rsid w:val="007C6DF1"/>
    <w:rsid w:val="007F3089"/>
    <w:rsid w:val="0082430A"/>
    <w:rsid w:val="00826ADC"/>
    <w:rsid w:val="008419D6"/>
    <w:rsid w:val="008467F9"/>
    <w:rsid w:val="008C28DC"/>
    <w:rsid w:val="008D7A14"/>
    <w:rsid w:val="008E26F0"/>
    <w:rsid w:val="008E4474"/>
    <w:rsid w:val="008E62B2"/>
    <w:rsid w:val="009558C6"/>
    <w:rsid w:val="0096151E"/>
    <w:rsid w:val="009A4899"/>
    <w:rsid w:val="009A7637"/>
    <w:rsid w:val="009C45A6"/>
    <w:rsid w:val="009F5AF7"/>
    <w:rsid w:val="00A51206"/>
    <w:rsid w:val="00A64745"/>
    <w:rsid w:val="00A8741B"/>
    <w:rsid w:val="00AD1916"/>
    <w:rsid w:val="00B02586"/>
    <w:rsid w:val="00B07BAC"/>
    <w:rsid w:val="00B17525"/>
    <w:rsid w:val="00B33CC1"/>
    <w:rsid w:val="00BD1D25"/>
    <w:rsid w:val="00C13832"/>
    <w:rsid w:val="00C26638"/>
    <w:rsid w:val="00C73079"/>
    <w:rsid w:val="00C7463C"/>
    <w:rsid w:val="00C74FC2"/>
    <w:rsid w:val="00CC1F92"/>
    <w:rsid w:val="00CD1D6A"/>
    <w:rsid w:val="00CF6FC0"/>
    <w:rsid w:val="00D06252"/>
    <w:rsid w:val="00D1172B"/>
    <w:rsid w:val="00D12F75"/>
    <w:rsid w:val="00D500D6"/>
    <w:rsid w:val="00D70640"/>
    <w:rsid w:val="00D845D0"/>
    <w:rsid w:val="00DA7D4B"/>
    <w:rsid w:val="00E317B0"/>
    <w:rsid w:val="00E50D32"/>
    <w:rsid w:val="00E63292"/>
    <w:rsid w:val="00EB2EB3"/>
    <w:rsid w:val="00F13BFF"/>
    <w:rsid w:val="00F552D7"/>
    <w:rsid w:val="00F85CE4"/>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1676</Words>
  <Characters>9556</Characters>
  <Application>Microsoft Office Word</Application>
  <DocSecurity>0</DocSecurity>
  <Lines>79</Lines>
  <Paragraphs>22</Paragraphs>
  <ScaleCrop>false</ScaleCrop>
  <Company>CMT</Company>
  <LinksUpToDate>false</LinksUpToDate>
  <CharactersWithSpaces>11210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Holden Hsu</cp:lastModifiedBy>
  <cp:revision>5</cp:revision>
  <dcterms:created xsi:type="dcterms:W3CDTF">2019-04-18T23:58:00Z</dcterms:created>
  <dcterms:modified xsi:type="dcterms:W3CDTF">2019-04-19T12:23:00Z</dcterms:modified>
</cp:coreProperties>
</file>